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bookmarkStart w:id="0" w:name="_GoBack"/>
      <w:bookmarkEnd w:id="0"/>
    </w:p>
    <w:p>
      <w:pPr>
        <w:jc w:val="center"/>
        <w:rPr>
          <w:rFonts w:eastAsia="方正小标宋_GBK"/>
          <w:sz w:val="48"/>
          <w:szCs w:val="48"/>
        </w:rPr>
      </w:pPr>
      <w:r>
        <w:rPr>
          <w:rFonts w:hint="eastAsia" w:eastAsia="方正小标宋_GBK"/>
          <w:sz w:val="48"/>
          <w:szCs w:val="48"/>
          <w:lang w:val="en-US" w:eastAsia="zh-CN"/>
        </w:rPr>
        <w:t>2023</w:t>
      </w:r>
      <w:r>
        <w:rPr>
          <w:rFonts w:eastAsia="方正小标宋_GBK"/>
          <w:sz w:val="48"/>
          <w:szCs w:val="48"/>
        </w:rPr>
        <w:t>年度</w:t>
      </w:r>
      <w:r>
        <w:rPr>
          <w:rFonts w:hint="eastAsia" w:eastAsia="方正小标宋_GBK"/>
          <w:sz w:val="48"/>
          <w:szCs w:val="48"/>
          <w:lang w:val="en-US" w:eastAsia="zh-CN"/>
        </w:rPr>
        <w:t>江永县粗石江镇中心小学</w:t>
      </w:r>
      <w:r>
        <w:rPr>
          <w:rFonts w:eastAsia="方正小标宋_GBK"/>
          <w:sz w:val="48"/>
          <w:szCs w:val="48"/>
        </w:rPr>
        <w:t>整体支出绩效自评报告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lang w:val="en-US" w:eastAsia="zh-CN"/>
        </w:rPr>
        <w:t>单位</w:t>
      </w:r>
      <w:r>
        <w:rPr>
          <w:rFonts w:eastAsia="楷体_GB2312"/>
          <w:b/>
          <w:sz w:val="32"/>
          <w:szCs w:val="32"/>
        </w:rPr>
        <w:t>基本情况</w:t>
      </w:r>
    </w:p>
    <w:p>
      <w:pPr>
        <w:spacing w:line="600" w:lineRule="exact"/>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江永县粗石江镇中心小学位于江永县最西端的粗石江镇上，由本部、城下完小、黄金山完小、城下小学、清溪源小学、清溪小学六所完小、村小构成，现有55个教学班，1930名学生，全校在职教师116名：其中在编人员89人，政府购买合同制17人、临聘人员10人。主要职能：实施小学义务教育，促进基础教育发展。</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lang w:val="en-US" w:eastAsia="zh-CN"/>
        </w:rPr>
        <w:t>单位</w:t>
      </w:r>
      <w:r>
        <w:rPr>
          <w:rFonts w:eastAsia="楷体_GB2312"/>
          <w:b/>
          <w:sz w:val="32"/>
          <w:szCs w:val="32"/>
        </w:rPr>
        <w:t>年度整体支出绩效目标</w:t>
      </w:r>
    </w:p>
    <w:p>
      <w:pPr>
        <w:numPr>
          <w:ilvl w:val="0"/>
          <w:numId w:val="0"/>
        </w:numPr>
        <w:spacing w:line="600" w:lineRule="exact"/>
        <w:rPr>
          <w:rFonts w:hint="default" w:asciiTheme="minorEastAsia" w:hAnsiTheme="minorEastAsia" w:eastAsiaTheme="minorEastAsia" w:cstheme="minorEastAsia"/>
          <w:sz w:val="28"/>
          <w:szCs w:val="28"/>
          <w:lang w:val="en-US" w:eastAsia="zh-CN"/>
        </w:rPr>
      </w:pPr>
      <w:r>
        <w:rPr>
          <w:rFonts w:hint="eastAsia" w:eastAsia="楷体_GB2312"/>
          <w:b/>
          <w:sz w:val="32"/>
          <w:szCs w:val="32"/>
          <w:lang w:val="en-US" w:eastAsia="zh-CN"/>
        </w:rPr>
        <w:t xml:space="preserve">  </w:t>
      </w:r>
      <w:r>
        <w:rPr>
          <w:rFonts w:hint="eastAsia" w:eastAsia="楷体_GB2312"/>
          <w:b w:val="0"/>
          <w:bCs/>
          <w:sz w:val="32"/>
          <w:szCs w:val="32"/>
          <w:lang w:val="en-US" w:eastAsia="zh-CN"/>
        </w:rPr>
        <w:t xml:space="preserve">  </w:t>
      </w:r>
      <w:r>
        <w:rPr>
          <w:rFonts w:hint="eastAsia" w:asciiTheme="minorEastAsia" w:hAnsiTheme="minorEastAsia" w:eastAsiaTheme="minorEastAsia" w:cstheme="minorEastAsia"/>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5"/>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numPr>
          <w:ilvl w:val="0"/>
          <w:numId w:val="0"/>
        </w:numPr>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2023年年度</w:t>
      </w:r>
      <w:r>
        <w:rPr>
          <w:rFonts w:hint="eastAsia" w:ascii="仿宋_GB2312" w:hAnsi="仿宋_GB2312" w:eastAsia="仿宋_GB2312" w:cs="仿宋_GB2312"/>
          <w:kern w:val="0"/>
          <w:sz w:val="32"/>
          <w:szCs w:val="32"/>
        </w:rPr>
        <w:t>基本</w:t>
      </w:r>
      <w:r>
        <w:rPr>
          <w:rFonts w:hint="eastAsia" w:ascii="仿宋_GB2312" w:hAnsi="仿宋_GB2312" w:eastAsia="仿宋_GB2312" w:cs="仿宋_GB2312"/>
          <w:kern w:val="0"/>
          <w:sz w:val="32"/>
          <w:szCs w:val="32"/>
          <w:lang w:val="en-US" w:eastAsia="zh-CN"/>
        </w:rPr>
        <w:t>支出</w:t>
      </w:r>
      <w:r>
        <w:rPr>
          <w:rFonts w:hint="eastAsia" w:asciiTheme="minorEastAsia" w:hAnsiTheme="minorEastAsia" w:eastAsiaTheme="minorEastAsia" w:cstheme="minorEastAsia"/>
          <w:sz w:val="28"/>
          <w:szCs w:val="28"/>
          <w:lang w:val="en-US" w:eastAsia="zh-CN"/>
        </w:rPr>
        <w:t>预算安排1349.87万元，实际拨入1349.87万元，其中人员经费1221.62万元，公用经费128.25万元。</w:t>
      </w:r>
    </w:p>
    <w:p>
      <w:pPr>
        <w:numPr>
          <w:ilvl w:val="0"/>
          <w:numId w:val="0"/>
        </w:numPr>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2023年江永县粗石江镇中心小学用于单位正常运转及人员经费共1349.87万元，其中人员支出（含基本工资、绩效津补贴、社保）共1191.41万元，机构正常运转经费127.95万元。其中办公费15.81万元；印刷费5.73万元；会议费0.96万元；培训费1.7万元；水电费4.08万元；差旅费2.14万元；等</w:t>
      </w:r>
    </w:p>
    <w:p>
      <w:pPr>
        <w:pStyle w:val="5"/>
        <w:spacing w:line="600" w:lineRule="exact"/>
        <w:ind w:firstLine="643"/>
        <w:rPr>
          <w:rFonts w:ascii="Times New Roman" w:hAnsi="Times New Roman" w:eastAsia="楷体_GB2312"/>
          <w:b/>
          <w:sz w:val="32"/>
          <w:szCs w:val="32"/>
        </w:rPr>
      </w:pPr>
    </w:p>
    <w:p>
      <w:pPr>
        <w:pStyle w:val="5"/>
        <w:spacing w:line="600" w:lineRule="exact"/>
        <w:ind w:firstLine="643"/>
        <w:rPr>
          <w:rFonts w:ascii="Times New Roman" w:hAnsi="Times New Roman" w:eastAsia="楷体_GB2312"/>
          <w:b/>
          <w:sz w:val="32"/>
          <w:szCs w:val="32"/>
        </w:rPr>
      </w:pPr>
    </w:p>
    <w:p>
      <w:pPr>
        <w:pStyle w:val="5"/>
        <w:numPr>
          <w:ilvl w:val="0"/>
          <w:numId w:val="2"/>
        </w:numPr>
        <w:spacing w:line="600" w:lineRule="exact"/>
        <w:ind w:left="0" w:leftChars="0" w:firstLine="643" w:firstLineChars="200"/>
        <w:rPr>
          <w:rFonts w:ascii="Times New Roman" w:hAnsi="Times New Roman" w:eastAsia="楷体_GB2312"/>
          <w:b/>
          <w:sz w:val="32"/>
          <w:szCs w:val="32"/>
        </w:rPr>
      </w:pPr>
      <w:r>
        <w:rPr>
          <w:rFonts w:ascii="Times New Roman" w:hAnsi="Times New Roman" w:eastAsia="楷体_GB2312"/>
          <w:b/>
          <w:sz w:val="32"/>
          <w:szCs w:val="32"/>
        </w:rPr>
        <w:t>项目支出情况</w:t>
      </w:r>
    </w:p>
    <w:p>
      <w:pPr>
        <w:pStyle w:val="5"/>
        <w:numPr>
          <w:ilvl w:val="0"/>
          <w:numId w:val="3"/>
        </w:numPr>
        <w:spacing w:line="600" w:lineRule="exact"/>
        <w:ind w:leftChars="200"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标准化食堂改造：16.27万元，用于江永县粗石江镇中心小学本部标准化食堂改造。</w:t>
      </w:r>
    </w:p>
    <w:p>
      <w:pPr>
        <w:pStyle w:val="5"/>
        <w:numPr>
          <w:ilvl w:val="0"/>
          <w:numId w:val="3"/>
        </w:numPr>
        <w:spacing w:line="600" w:lineRule="exact"/>
        <w:ind w:leftChars="200" w:firstLine="560" w:firstLineChars="200"/>
        <w:rPr>
          <w:rFonts w:hint="default" w:asciiTheme="minorEastAsia" w:hAnsiTheme="minorEastAsia" w:eastAsiaTheme="minorEastAsia" w:cstheme="minorEastAsia"/>
          <w:kern w:val="2"/>
          <w:sz w:val="28"/>
          <w:szCs w:val="28"/>
          <w:lang w:val="en-US" w:eastAsia="zh-CN" w:bidi="ar-SA"/>
        </w:rPr>
      </w:pPr>
      <w:r>
        <w:rPr>
          <w:rFonts w:hint="default" w:asciiTheme="minorEastAsia" w:hAnsiTheme="minorEastAsia" w:eastAsiaTheme="minorEastAsia" w:cstheme="minorEastAsia"/>
          <w:kern w:val="2"/>
          <w:sz w:val="28"/>
          <w:szCs w:val="28"/>
          <w:lang w:val="en-US" w:eastAsia="zh-CN" w:bidi="ar-SA"/>
        </w:rPr>
        <w:t>分布式智慧图书馆采购项目</w:t>
      </w:r>
      <w:r>
        <w:rPr>
          <w:rFonts w:hint="eastAsia" w:asciiTheme="minorEastAsia" w:hAnsiTheme="minorEastAsia" w:eastAsiaTheme="minorEastAsia" w:cstheme="minorEastAsia"/>
          <w:kern w:val="2"/>
          <w:sz w:val="28"/>
          <w:szCs w:val="28"/>
          <w:lang w:val="en-US" w:eastAsia="zh-CN" w:bidi="ar-SA"/>
        </w:rPr>
        <w:t>：45.8万元，用于江永县粗石江镇中心小学学生提高阅读兴趣，丰富学生课外知识。</w:t>
      </w:r>
    </w:p>
    <w:p>
      <w:pPr>
        <w:pStyle w:val="5"/>
        <w:numPr>
          <w:ilvl w:val="0"/>
          <w:numId w:val="4"/>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5"/>
        <w:spacing w:line="600" w:lineRule="exact"/>
        <w:ind w:firstLine="1280" w:firstLineChars="400"/>
        <w:rPr>
          <w:rFonts w:hint="eastAsia" w:ascii="Times New Roman" w:hAnsi="Times New Roman" w:eastAsia="楷体_GB2312"/>
          <w:b w:val="0"/>
          <w:bCs/>
          <w:sz w:val="32"/>
          <w:szCs w:val="32"/>
          <w:lang w:val="en-US" w:eastAsia="zh-CN"/>
        </w:rPr>
      </w:pPr>
      <w:r>
        <w:rPr>
          <w:rFonts w:hint="eastAsia" w:ascii="Times New Roman" w:hAnsi="Times New Roman" w:eastAsia="楷体_GB2312"/>
          <w:b w:val="0"/>
          <w:bCs/>
          <w:sz w:val="32"/>
          <w:szCs w:val="32"/>
          <w:lang w:val="en-US" w:eastAsia="zh-CN"/>
        </w:rPr>
        <w:t>无</w:t>
      </w:r>
    </w:p>
    <w:p>
      <w:pPr>
        <w:pStyle w:val="5"/>
        <w:numPr>
          <w:ilvl w:val="0"/>
          <w:numId w:val="4"/>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5"/>
        <w:spacing w:line="600" w:lineRule="exact"/>
        <w:ind w:firstLine="1280" w:firstLineChars="400"/>
        <w:rPr>
          <w:rFonts w:ascii="Times New Roman" w:hAnsi="Times New Roman" w:eastAsia="黑体"/>
          <w:sz w:val="32"/>
          <w:szCs w:val="32"/>
        </w:rPr>
      </w:pPr>
      <w:r>
        <w:rPr>
          <w:rFonts w:hint="eastAsia" w:ascii="Times New Roman" w:hAnsi="Times New Roman" w:eastAsia="楷体_GB2312"/>
          <w:b w:val="0"/>
          <w:bCs/>
          <w:sz w:val="32"/>
          <w:szCs w:val="32"/>
          <w:lang w:val="en-US" w:eastAsia="zh-CN"/>
        </w:rPr>
        <w:t>无</w:t>
      </w:r>
    </w:p>
    <w:p>
      <w:pPr>
        <w:pStyle w:val="5"/>
        <w:numPr>
          <w:ilvl w:val="0"/>
          <w:numId w:val="4"/>
        </w:numPr>
        <w:spacing w:line="600" w:lineRule="exact"/>
        <w:ind w:left="0" w:leftChars="0" w:firstLine="640" w:firstLineChars="200"/>
        <w:rPr>
          <w:rFonts w:hint="eastAsia" w:ascii="Times New Roman" w:hAnsi="Times New Roman" w:eastAsia="黑体"/>
          <w:sz w:val="32"/>
          <w:szCs w:val="32"/>
          <w:lang w:val="en-US" w:eastAsia="zh-CN"/>
        </w:rPr>
      </w:pPr>
      <w:r>
        <w:rPr>
          <w:rFonts w:ascii="Times New Roman" w:hAnsi="Times New Roman" w:eastAsia="黑体"/>
          <w:sz w:val="32"/>
          <w:szCs w:val="32"/>
        </w:rPr>
        <w:t>社会保险基金预算支出情况</w:t>
      </w:r>
      <w:r>
        <w:rPr>
          <w:rFonts w:hint="eastAsia" w:ascii="Times New Roman" w:hAnsi="Times New Roman" w:eastAsia="黑体"/>
          <w:sz w:val="32"/>
          <w:szCs w:val="32"/>
          <w:lang w:val="en-US" w:eastAsia="zh-CN"/>
        </w:rPr>
        <w:t xml:space="preserve"> </w:t>
      </w:r>
    </w:p>
    <w:p>
      <w:pPr>
        <w:pStyle w:val="5"/>
        <w:numPr>
          <w:ilvl w:val="0"/>
          <w:numId w:val="0"/>
        </w:numPr>
        <w:spacing w:line="600" w:lineRule="exact"/>
        <w:ind w:leftChars="200"/>
        <w:rPr>
          <w:rFonts w:hint="default" w:asciiTheme="minorEastAsia" w:hAnsiTheme="minorEastAsia" w:eastAsiaTheme="minorEastAsia" w:cstheme="minorEastAsia"/>
          <w:kern w:val="2"/>
          <w:sz w:val="28"/>
          <w:szCs w:val="28"/>
          <w:lang w:val="en-US" w:eastAsia="zh-CN" w:bidi="ar-SA"/>
        </w:rPr>
      </w:pPr>
      <w:r>
        <w:rPr>
          <w:rFonts w:hint="eastAsia" w:ascii="Times New Roman" w:hAnsi="Times New Roman" w:eastAsia="黑体"/>
          <w:sz w:val="32"/>
          <w:szCs w:val="32"/>
          <w:lang w:val="en-US" w:eastAsia="zh-CN"/>
        </w:rPr>
        <w:t xml:space="preserve">   </w:t>
      </w:r>
      <w:r>
        <w:rPr>
          <w:rFonts w:hint="eastAsia" w:asciiTheme="minorEastAsia" w:hAnsiTheme="minorEastAsia" w:eastAsiaTheme="minorEastAsia" w:cstheme="minorEastAsia"/>
          <w:kern w:val="2"/>
          <w:sz w:val="28"/>
          <w:szCs w:val="28"/>
          <w:lang w:val="en-US" w:eastAsia="zh-CN" w:bidi="ar-SA"/>
        </w:rPr>
        <w:t>2023年机关事业单位基本养老保险缴费支出86万元，职工基本医疗保险缴费支出50.12万元，其他社会保障缴费支出13.69万元。社会保险基金预算支出共计149.81万元</w:t>
      </w:r>
    </w:p>
    <w:p>
      <w:pPr>
        <w:spacing w:line="600" w:lineRule="exact"/>
        <w:ind w:firstLine="640" w:firstLineChars="200"/>
        <w:rPr>
          <w:rFonts w:eastAsia="黑体"/>
          <w:sz w:val="32"/>
          <w:szCs w:val="32"/>
        </w:rPr>
      </w:pPr>
      <w:r>
        <w:rPr>
          <w:rFonts w:eastAsia="黑体"/>
          <w:sz w:val="32"/>
          <w:szCs w:val="32"/>
        </w:rPr>
        <w:t>六、部门整体支出绩效情况</w:t>
      </w:r>
    </w:p>
    <w:p>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2023年，我单位积极履职，强化管理，较好地完成了年度工作目标。通过加强预算收支管理，不断建立健全内部管理制度，梳理内部管理流程，部门整体支出管理水平得到提升。根据部门整体支出绩效评价指标体系，我单位2023年度评价得分为98分。部门整体支出绩效情况中，部门资金使用率得分10分，其他分值如下：</w:t>
      </w:r>
    </w:p>
    <w:p>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tbl>
      <w:tblPr>
        <w:tblStyle w:val="3"/>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绩效指标</w:t>
            </w: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485"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年度指标值</w:t>
            </w:r>
          </w:p>
        </w:tc>
        <w:tc>
          <w:tcPr>
            <w:tcW w:w="1249"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8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49"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1157" w:type="dxa"/>
            <w:vMerge w:val="restart"/>
            <w:tcBorders>
              <w:top w:val="single" w:color="000000" w:sz="4" w:space="0"/>
              <w:left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小学毕业合格率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校园系统建设完成率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食品安全达标率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ind w:left="240" w:hanging="240" w:hanging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学生入学</w:t>
            </w:r>
            <w:r>
              <w:rPr>
                <w:rFonts w:hint="eastAsia" w:ascii="宋体" w:hAnsi="宋体" w:cs="宋体"/>
                <w:i w:val="0"/>
                <w:iCs w:val="0"/>
                <w:color w:val="000000"/>
                <w:kern w:val="0"/>
                <w:sz w:val="24"/>
                <w:szCs w:val="24"/>
                <w:u w:val="none"/>
                <w:lang w:val="en-US" w:eastAsia="zh-CN" w:bidi="ar"/>
              </w:rPr>
              <w:t>数量增长</w:t>
            </w:r>
            <w:r>
              <w:rPr>
                <w:rFonts w:hint="eastAsia" w:ascii="宋体" w:hAnsi="宋体" w:eastAsia="宋体" w:cs="宋体"/>
                <w:i w:val="0"/>
                <w:iCs w:val="0"/>
                <w:color w:val="000000"/>
                <w:kern w:val="0"/>
                <w:sz w:val="24"/>
                <w:szCs w:val="24"/>
                <w:u w:val="none"/>
                <w:lang w:val="en-US" w:eastAsia="zh-CN" w:bidi="ar"/>
              </w:rPr>
              <w:t>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≥0</w:t>
            </w:r>
            <w:r>
              <w:rPr>
                <w:rFonts w:hint="eastAsia" w:ascii="宋体" w:hAnsi="宋体" w:eastAsia="宋体" w:cs="宋体"/>
                <w:i w:val="0"/>
                <w:iCs w:val="0"/>
                <w:color w:val="000000"/>
                <w:kern w:val="0"/>
                <w:sz w:val="24"/>
                <w:szCs w:val="24"/>
                <w:u w:val="none"/>
                <w:lang w:val="en-US" w:eastAsia="zh-CN" w:bidi="ar"/>
              </w:rPr>
              <w:t>%</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ind w:left="240" w:hanging="240" w:hanging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学校安全事故发生次数</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0次</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w:t>
            </w:r>
            <w:r>
              <w:rPr>
                <w:rFonts w:hint="eastAsia" w:ascii="宋体" w:hAnsi="宋体" w:cs="宋体"/>
                <w:i w:val="0"/>
                <w:iCs w:val="0"/>
                <w:color w:val="000000"/>
                <w:kern w:val="0"/>
                <w:sz w:val="24"/>
                <w:szCs w:val="24"/>
                <w:u w:val="non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家长满意度指标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ind w:left="240" w:hanging="240" w:hanging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经济成本指标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行政效率指标率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ind w:left="240" w:hanging="240" w:hanging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社会成本指标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资金使用合规性</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合规</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生态环境成本指标</w:t>
            </w:r>
          </w:p>
        </w:tc>
        <w:tc>
          <w:tcPr>
            <w:tcW w:w="2173" w:type="dxa"/>
            <w:tcBorders>
              <w:top w:val="nil"/>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校园环境改善指标</w:t>
            </w:r>
          </w:p>
        </w:tc>
        <w:tc>
          <w:tcPr>
            <w:tcW w:w="1485" w:type="dxa"/>
            <w:tcBorders>
              <w:top w:val="nil"/>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改善</w:t>
            </w:r>
          </w:p>
        </w:tc>
        <w:tc>
          <w:tcPr>
            <w:tcW w:w="1249" w:type="dxa"/>
            <w:tcBorders>
              <w:top w:val="nil"/>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258"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合计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90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88</w:t>
            </w:r>
          </w:p>
        </w:tc>
      </w:tr>
    </w:tbl>
    <w:p>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1.预算编制工作有待细化。预算编制不够明确和细化，预算编制的合理性需要提高，预算执行力度还要进一步加强。</w:t>
      </w:r>
    </w:p>
    <w:p>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2.财务制度不够健全。3.相关人员对预算业务有待进一步加强。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针对上述存在的问题及对外整体支出管理工作的需要，拟实施的改进措施如下：</w:t>
      </w:r>
    </w:p>
    <w:p>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2.加强财务管理，严格财务审核。进一步加强单位财务管理，健全单位财务管理制度体系，规范单位财务行为。</w:t>
      </w:r>
    </w:p>
    <w:p>
      <w:pPr>
        <w:pStyle w:val="2"/>
        <w:keepNext w:val="0"/>
        <w:keepLines w:val="0"/>
        <w:widowControl/>
        <w:suppressLineNumbers w:val="0"/>
        <w:spacing w:before="0" w:beforeAutospacing="0" w:after="0" w:afterAutospacing="0" w:line="33" w:lineRule="atLeast"/>
        <w:ind w:firstLine="560" w:firstLineChars="200"/>
        <w:jc w:val="both"/>
        <w:rPr>
          <w:rFonts w:hint="eastAsia" w:ascii="微软雅黑" w:hAnsi="微软雅黑" w:eastAsia="微软雅黑" w:cs="微软雅黑"/>
          <w:i w:val="0"/>
          <w:iCs w:val="0"/>
          <w:caps w:val="0"/>
          <w:color w:val="333333"/>
          <w:spacing w:val="0"/>
          <w:sz w:val="24"/>
          <w:szCs w:val="24"/>
        </w:rPr>
      </w:pPr>
      <w:r>
        <w:rPr>
          <w:rFonts w:hint="eastAsia" w:asciiTheme="minorEastAsia" w:hAnsiTheme="minorEastAsia" w:eastAsiaTheme="minorEastAsia" w:cstheme="minorEastAsia"/>
          <w:kern w:val="2"/>
          <w:sz w:val="28"/>
          <w:szCs w:val="28"/>
          <w:lang w:val="en-US" w:eastAsia="zh-CN" w:bidi="ar-SA"/>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i w:val="0"/>
          <w:iCs w:val="0"/>
          <w:caps w:val="0"/>
          <w:color w:val="333333"/>
          <w:spacing w:val="0"/>
          <w:sz w:val="24"/>
          <w:szCs w:val="24"/>
        </w:rPr>
        <w:t>。</w:t>
      </w: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黑体"/>
          <w:sz w:val="32"/>
          <w:szCs w:val="32"/>
        </w:rPr>
      </w:pPr>
      <w:r>
        <w:rPr>
          <w:rFonts w:eastAsia="黑体"/>
          <w:sz w:val="32"/>
          <w:szCs w:val="32"/>
        </w:rPr>
        <w:t>其他需要说明的情况</w:t>
      </w:r>
    </w:p>
    <w:p>
      <w:pPr>
        <w:rPr>
          <w:sz w:val="30"/>
          <w:szCs w:val="30"/>
        </w:rPr>
      </w:pPr>
    </w:p>
    <w:p>
      <w:pPr>
        <w:rPr>
          <w:sz w:val="30"/>
          <w:szCs w:val="30"/>
        </w:rPr>
      </w:pPr>
    </w:p>
    <w:p>
      <w:pPr>
        <w:rPr>
          <w:sz w:val="30"/>
          <w:szCs w:val="30"/>
        </w:rPr>
      </w:pPr>
    </w:p>
    <w:p>
      <w:pPr>
        <w:rPr>
          <w:sz w:val="30"/>
          <w:szCs w:val="30"/>
        </w:rPr>
      </w:pPr>
    </w:p>
    <w:p>
      <w:pPr>
        <w:rPr>
          <w:sz w:val="30"/>
          <w:szCs w:val="30"/>
        </w:rPr>
      </w:pPr>
    </w:p>
    <w:p>
      <w:pPr>
        <w:rPr>
          <w:sz w:val="30"/>
          <w:szCs w:val="30"/>
        </w:rPr>
      </w:pPr>
    </w:p>
    <w:p>
      <w:pPr>
        <w:rPr>
          <w:sz w:val="30"/>
          <w:szCs w:val="30"/>
        </w:rPr>
      </w:pPr>
    </w:p>
    <w:p>
      <w:pPr>
        <w:rPr>
          <w:sz w:val="30"/>
          <w:szCs w:val="30"/>
        </w:rPr>
      </w:pPr>
    </w:p>
    <w:p>
      <w:pPr>
        <w:rPr>
          <w:sz w:val="30"/>
          <w:szCs w:val="30"/>
        </w:rPr>
      </w:pPr>
    </w:p>
    <w:p>
      <w:pPr>
        <w:rPr>
          <w:sz w:val="30"/>
          <w:szCs w:val="30"/>
        </w:rPr>
      </w:pPr>
    </w:p>
    <w:p>
      <w:pPr>
        <w:widowControl/>
        <w:spacing w:line="560" w:lineRule="exact"/>
        <w:jc w:val="center"/>
        <w:rPr>
          <w:rFonts w:eastAsia="方正小标宋_GBK"/>
          <w:kern w:val="0"/>
          <w:sz w:val="36"/>
          <w:szCs w:val="36"/>
        </w:rPr>
      </w:pPr>
      <w:r>
        <w:rPr>
          <w:rFonts w:hint="eastAsia" w:eastAsia="方正小标宋_GBK"/>
          <w:kern w:val="0"/>
          <w:sz w:val="36"/>
          <w:szCs w:val="36"/>
          <w:lang w:val="en-US" w:eastAsia="zh-CN"/>
        </w:rPr>
        <w:t>江永县粗石江镇中心小学</w:t>
      </w:r>
      <w:r>
        <w:rPr>
          <w:rFonts w:eastAsia="方正小标宋_GBK"/>
          <w:kern w:val="0"/>
          <w:sz w:val="36"/>
          <w:szCs w:val="36"/>
        </w:rPr>
        <w:t>部门整体支出绩效评价</w:t>
      </w:r>
    </w:p>
    <w:p>
      <w:pPr>
        <w:widowControl/>
        <w:spacing w:line="560" w:lineRule="exact"/>
        <w:jc w:val="center"/>
        <w:rPr>
          <w:rFonts w:hint="eastAsia" w:eastAsia="方正小标宋_GBK"/>
          <w:kern w:val="0"/>
          <w:sz w:val="36"/>
          <w:szCs w:val="36"/>
        </w:rPr>
      </w:pPr>
      <w:r>
        <w:rPr>
          <w:rFonts w:eastAsia="方正小标宋_GBK"/>
          <w:kern w:val="0"/>
          <w:sz w:val="36"/>
          <w:szCs w:val="36"/>
        </w:rPr>
        <w:t>基础数据表</w:t>
      </w:r>
    </w:p>
    <w:p>
      <w:pPr>
        <w:widowControl/>
        <w:spacing w:line="560" w:lineRule="exact"/>
        <w:jc w:val="right"/>
        <w:rPr>
          <w:rFonts w:eastAsia="方正小标宋_GBK"/>
          <w:kern w:val="0"/>
          <w:szCs w:val="21"/>
        </w:rPr>
      </w:pPr>
      <w:r>
        <w:rPr>
          <w:rFonts w:hint="eastAsia" w:eastAsia="方正小标宋_GBK"/>
          <w:kern w:val="0"/>
          <w:szCs w:val="21"/>
        </w:rPr>
        <w:t>（单位：万元）</w:t>
      </w:r>
    </w:p>
    <w:p>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3"/>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89</w:t>
            </w: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89</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0.7</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jc w:val="center"/>
              <w:rPr>
                <w:rFonts w:eastAsia="仿宋_GB2312"/>
                <w:kern w:val="0"/>
                <w:szCs w:val="21"/>
              </w:rPr>
            </w:pPr>
          </w:p>
        </w:tc>
        <w:tc>
          <w:tcPr>
            <w:tcW w:w="1832" w:type="dxa"/>
            <w:gridSpan w:val="2"/>
            <w:noWrap w:val="0"/>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jc w:val="center"/>
              <w:rPr>
                <w:rFonts w:hint="eastAsia" w:eastAsia="仿宋_GB2312"/>
                <w:kern w:val="0"/>
                <w:szCs w:val="21"/>
              </w:rPr>
            </w:pPr>
          </w:p>
        </w:tc>
        <w:tc>
          <w:tcPr>
            <w:tcW w:w="2240" w:type="dxa"/>
            <w:gridSpan w:val="2"/>
            <w:noWrap w:val="0"/>
            <w:vAlign w:val="center"/>
          </w:tcPr>
          <w:p>
            <w:pPr>
              <w:jc w:val="center"/>
              <w:rPr>
                <w:rFonts w:eastAsia="仿宋_GB2312"/>
                <w:kern w:val="0"/>
                <w:szCs w:val="21"/>
              </w:rPr>
            </w:pPr>
          </w:p>
        </w:tc>
        <w:tc>
          <w:tcPr>
            <w:tcW w:w="1832" w:type="dxa"/>
            <w:gridSpan w:val="2"/>
            <w:noWrap w:val="0"/>
            <w:vAlign w:val="center"/>
          </w:tcPr>
          <w:p>
            <w:pPr>
              <w:jc w:val="center"/>
              <w:rPr>
                <w:rFonts w:hint="eastAsia"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jc w:val="center"/>
              <w:rPr>
                <w:rFonts w:hint="eastAsia" w:eastAsia="仿宋_GB2312"/>
                <w:kern w:val="0"/>
                <w:szCs w:val="21"/>
              </w:rPr>
            </w:pPr>
          </w:p>
        </w:tc>
        <w:tc>
          <w:tcPr>
            <w:tcW w:w="2240" w:type="dxa"/>
            <w:gridSpan w:val="2"/>
            <w:noWrap w:val="0"/>
            <w:vAlign w:val="center"/>
          </w:tcPr>
          <w:p>
            <w:pPr>
              <w:jc w:val="center"/>
              <w:rPr>
                <w:rFonts w:hint="eastAsia" w:eastAsia="仿宋_GB2312"/>
                <w:kern w:val="0"/>
                <w:szCs w:val="21"/>
              </w:rPr>
            </w:pPr>
          </w:p>
        </w:tc>
        <w:tc>
          <w:tcPr>
            <w:tcW w:w="1832" w:type="dxa"/>
            <w:gridSpan w:val="2"/>
            <w:noWrap w:val="0"/>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0.7</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62.07</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62.07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jc w:val="center"/>
              <w:rPr>
                <w:rFonts w:eastAsia="仿宋_GB2312"/>
                <w:kern w:val="0"/>
                <w:szCs w:val="21"/>
              </w:rPr>
            </w:pPr>
          </w:p>
        </w:tc>
        <w:tc>
          <w:tcPr>
            <w:tcW w:w="1832" w:type="dxa"/>
            <w:gridSpan w:val="2"/>
            <w:noWrap w:val="0"/>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jc w:val="center"/>
              <w:rPr>
                <w:rFonts w:eastAsia="仿宋_GB2312"/>
                <w:kern w:val="0"/>
                <w:szCs w:val="21"/>
              </w:rPr>
            </w:pPr>
          </w:p>
        </w:tc>
        <w:tc>
          <w:tcPr>
            <w:tcW w:w="1832" w:type="dxa"/>
            <w:gridSpan w:val="2"/>
            <w:noWrap w:val="0"/>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keepNext w:val="0"/>
              <w:keepLines w:val="0"/>
              <w:widowControl/>
              <w:suppressLineNumbers w:val="0"/>
              <w:jc w:val="center"/>
              <w:textAlignment w:val="center"/>
              <w:rPr>
                <w:rFonts w:hint="eastAsia"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0"/>
            <w:vAlign w:val="center"/>
          </w:tcPr>
          <w:p>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22"/>
                <w:szCs w:val="22"/>
                <w:u w:val="none"/>
                <w:lang w:val="en-US" w:eastAsia="zh-CN" w:bidi="ar"/>
              </w:rPr>
              <w:t>62.07</w:t>
            </w:r>
          </w:p>
        </w:tc>
        <w:tc>
          <w:tcPr>
            <w:tcW w:w="1832" w:type="dxa"/>
            <w:gridSpan w:val="2"/>
            <w:noWrap w:val="0"/>
            <w:vAlign w:val="center"/>
          </w:tcPr>
          <w:p>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22"/>
                <w:szCs w:val="22"/>
                <w:u w:val="none"/>
                <w:lang w:val="en-US" w:eastAsia="zh-CN" w:bidi="ar"/>
              </w:rPr>
              <w:t>62.07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hint="default" w:eastAsia="仿宋_GB2312"/>
                <w:kern w:val="0"/>
                <w:szCs w:val="21"/>
                <w:lang w:val="en-US" w:eastAsia="zh-CN"/>
              </w:rPr>
            </w:pPr>
            <w:r>
              <w:rPr>
                <w:rFonts w:hint="eastAsia" w:eastAsia="仿宋_GB2312"/>
                <w:kern w:val="0"/>
                <w:szCs w:val="21"/>
                <w:lang w:val="en-US" w:eastAsia="zh-CN"/>
              </w:rPr>
              <w:t>标准化食堂改造</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16.27</w:t>
            </w:r>
          </w:p>
        </w:tc>
        <w:tc>
          <w:tcPr>
            <w:tcW w:w="1832" w:type="dxa"/>
            <w:gridSpan w:val="2"/>
            <w:noWrap w:val="0"/>
            <w:vAlign w:val="center"/>
          </w:tcPr>
          <w:p>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22"/>
                <w:szCs w:val="22"/>
                <w:u w:val="none"/>
                <w:lang w:val="en-US" w:eastAsia="zh-CN" w:bidi="ar"/>
              </w:rPr>
              <w:t>16.27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分布式智慧图书馆采购项目</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45.8</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keepNext w:val="0"/>
              <w:keepLines w:val="0"/>
              <w:widowControl/>
              <w:suppressLineNumbers w:val="0"/>
              <w:jc w:val="center"/>
              <w:textAlignment w:val="center"/>
              <w:rPr>
                <w:rFonts w:hint="default" w:eastAsia="仿宋_GB2312"/>
                <w:kern w:val="0"/>
                <w:szCs w:val="21"/>
                <w:lang w:val="en-US"/>
              </w:rPr>
            </w:pPr>
            <w:r>
              <w:rPr>
                <w:rFonts w:hint="eastAsia" w:ascii="宋体" w:hAnsi="宋体" w:cs="宋体"/>
                <w:i w:val="0"/>
                <w:iCs w:val="0"/>
                <w:color w:val="000000"/>
                <w:kern w:val="0"/>
                <w:sz w:val="22"/>
                <w:szCs w:val="22"/>
                <w:u w:val="none"/>
                <w:lang w:val="en-US" w:eastAsia="zh-CN" w:bidi="ar"/>
              </w:rPr>
              <w:t>128.25</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cs="宋体"/>
                <w:i w:val="0"/>
                <w:iCs w:val="0"/>
                <w:color w:val="000000"/>
                <w:kern w:val="0"/>
                <w:sz w:val="22"/>
                <w:szCs w:val="22"/>
                <w:u w:val="none"/>
                <w:lang w:val="en-US" w:eastAsia="zh-CN" w:bidi="ar"/>
              </w:rPr>
              <w:t>128.25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15.81</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jc w:val="center"/>
              <w:rPr>
                <w:rFonts w:hint="eastAsia" w:eastAsia="仿宋_GB2312"/>
                <w:kern w:val="0"/>
                <w:szCs w:val="21"/>
              </w:rPr>
            </w:pP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6.23</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2.67</w:t>
            </w:r>
          </w:p>
        </w:tc>
        <w:tc>
          <w:tcPr>
            <w:tcW w:w="1832"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jc w:val="center"/>
              <w:rPr>
                <w:rFonts w:hint="eastAsia" w:eastAsia="仿宋_GB2312"/>
                <w:kern w:val="0"/>
                <w:szCs w:val="21"/>
              </w:rPr>
            </w:pPr>
          </w:p>
        </w:tc>
        <w:tc>
          <w:tcPr>
            <w:tcW w:w="1832" w:type="dxa"/>
            <w:gridSpan w:val="2"/>
            <w:noWrap w:val="0"/>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jc w:val="center"/>
              <w:rPr>
                <w:rFonts w:eastAsia="仿宋_GB2312"/>
                <w:kern w:val="0"/>
                <w:szCs w:val="21"/>
              </w:rPr>
            </w:pPr>
          </w:p>
        </w:tc>
        <w:tc>
          <w:tcPr>
            <w:tcW w:w="2240" w:type="dxa"/>
            <w:gridSpan w:val="2"/>
            <w:noWrap w:val="0"/>
            <w:vAlign w:val="center"/>
          </w:tcPr>
          <w:p>
            <w:pPr>
              <w:jc w:val="center"/>
              <w:rPr>
                <w:rFonts w:eastAsia="仿宋_GB2312"/>
                <w:kern w:val="0"/>
                <w:szCs w:val="21"/>
              </w:rPr>
            </w:pPr>
          </w:p>
        </w:tc>
        <w:tc>
          <w:tcPr>
            <w:tcW w:w="1832" w:type="dxa"/>
            <w:gridSpan w:val="2"/>
            <w:noWrap w:val="0"/>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w:t>
            </w:r>
            <w:r>
              <w:rPr>
                <w:rFonts w:hint="eastAsia" w:eastAsia="仿宋_GB2312"/>
                <w:kern w:val="0"/>
                <w:szCs w:val="21"/>
              </w:rPr>
              <w:t>2</w:t>
            </w:r>
            <w:r>
              <w:rPr>
                <w:rFonts w:hint="eastAsia" w:eastAsia="仿宋_GB2312"/>
                <w:kern w:val="0"/>
                <w:szCs w:val="21"/>
                <w:lang w:val="en-US" w:eastAsia="zh-CN"/>
              </w:rPr>
              <w:t>3</w:t>
            </w:r>
            <w:r>
              <w:rPr>
                <w:rFonts w:eastAsia="仿宋_GB2312"/>
                <w:kern w:val="0"/>
                <w:szCs w:val="21"/>
              </w:rPr>
              <w:t>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112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100%</w:t>
            </w:r>
          </w:p>
        </w:tc>
        <w:tc>
          <w:tcPr>
            <w:tcW w:w="1111"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96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863"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r>
        <w:rPr>
          <w:rFonts w:eastAsia="仿宋_GB2312"/>
          <w:kern w:val="0"/>
          <w:sz w:val="22"/>
        </w:rPr>
        <w:t>说明：“项目支出”需要填报基本支出以外的所有项目支出情况，“公用经费”填报基本支出中的一般商品和服务支出。</w:t>
      </w:r>
    </w:p>
    <w:p>
      <w:pPr>
        <w:spacing w:line="560" w:lineRule="exact"/>
        <w:jc w:val="center"/>
        <w:rPr>
          <w:rFonts w:eastAsia="方正小标宋_GBK"/>
          <w:color w:val="000000"/>
          <w:kern w:val="0"/>
          <w:sz w:val="36"/>
          <w:szCs w:val="36"/>
        </w:rPr>
      </w:pPr>
      <w:r>
        <w:rPr>
          <w:rFonts w:eastAsia="方正小标宋_GBK"/>
          <w:color w:val="000000"/>
          <w:kern w:val="0"/>
          <w:sz w:val="44"/>
          <w:szCs w:val="44"/>
        </w:rPr>
        <w:t>部门整体支出绩效自评表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3"/>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166"/>
        <w:gridCol w:w="210"/>
        <w:gridCol w:w="1223"/>
        <w:gridCol w:w="64"/>
        <w:gridCol w:w="1074"/>
        <w:gridCol w:w="169"/>
        <w:gridCol w:w="718"/>
        <w:gridCol w:w="355"/>
        <w:gridCol w:w="571"/>
        <w:gridCol w:w="646"/>
        <w:gridCol w:w="280"/>
        <w:gridCol w:w="423"/>
        <w:gridCol w:w="95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预算部门名称</w:t>
            </w:r>
          </w:p>
        </w:tc>
        <w:tc>
          <w:tcPr>
            <w:tcW w:w="9260" w:type="dxa"/>
            <w:gridSpan w:val="14"/>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江永县粗石江镇中心小学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年度预算申请</w:t>
            </w: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(万元)</w:t>
            </w:r>
          </w:p>
        </w:tc>
        <w:tc>
          <w:tcPr>
            <w:tcW w:w="1166" w:type="dxa"/>
            <w:noWrap w:val="0"/>
            <w:vAlign w:val="center"/>
          </w:tcPr>
          <w:p>
            <w:pPr>
              <w:jc w:val="center"/>
              <w:rPr>
                <w:rFonts w:hint="eastAsia" w:asciiTheme="minorEastAsia" w:hAnsiTheme="minorEastAsia" w:eastAsiaTheme="minorEastAsia" w:cstheme="minorEastAsia"/>
                <w:b w:val="0"/>
                <w:bCs w:val="0"/>
                <w:szCs w:val="21"/>
              </w:rPr>
            </w:pPr>
          </w:p>
        </w:tc>
        <w:tc>
          <w:tcPr>
            <w:tcW w:w="1497" w:type="dxa"/>
            <w:gridSpan w:val="3"/>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年初预算数(万元)</w:t>
            </w:r>
          </w:p>
        </w:tc>
        <w:tc>
          <w:tcPr>
            <w:tcW w:w="1074"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全年预算数（万元）</w:t>
            </w:r>
          </w:p>
        </w:tc>
        <w:tc>
          <w:tcPr>
            <w:tcW w:w="887"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全年执行数（万元）</w:t>
            </w:r>
          </w:p>
        </w:tc>
        <w:tc>
          <w:tcPr>
            <w:tcW w:w="926"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分值</w:t>
            </w:r>
          </w:p>
        </w:tc>
        <w:tc>
          <w:tcPr>
            <w:tcW w:w="926"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执行率</w:t>
            </w:r>
          </w:p>
        </w:tc>
        <w:tc>
          <w:tcPr>
            <w:tcW w:w="2784" w:type="dxa"/>
            <w:gridSpan w:val="3"/>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年度资金总额：</w:t>
            </w:r>
          </w:p>
        </w:tc>
        <w:tc>
          <w:tcPr>
            <w:tcW w:w="1497" w:type="dxa"/>
            <w:gridSpan w:val="3"/>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773.23</w:t>
            </w:r>
          </w:p>
        </w:tc>
        <w:tc>
          <w:tcPr>
            <w:tcW w:w="1074"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1411.94</w:t>
            </w:r>
          </w:p>
        </w:tc>
        <w:tc>
          <w:tcPr>
            <w:tcW w:w="887"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1411.94</w:t>
            </w:r>
          </w:p>
        </w:tc>
        <w:tc>
          <w:tcPr>
            <w:tcW w:w="926"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w:t>
            </w:r>
          </w:p>
        </w:tc>
        <w:tc>
          <w:tcPr>
            <w:tcW w:w="926"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100.00%</w:t>
            </w:r>
          </w:p>
        </w:tc>
        <w:tc>
          <w:tcPr>
            <w:tcW w:w="2784" w:type="dxa"/>
            <w:gridSpan w:val="3"/>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hint="eastAsia" w:asciiTheme="minorEastAsia" w:hAnsiTheme="minorEastAsia" w:eastAsiaTheme="minorEastAsia" w:cstheme="minorEastAsia"/>
                <w:b w:val="0"/>
                <w:bCs w:val="0"/>
                <w:color w:val="000000"/>
                <w:kern w:val="0"/>
                <w:szCs w:val="21"/>
              </w:rPr>
            </w:pPr>
          </w:p>
        </w:tc>
        <w:tc>
          <w:tcPr>
            <w:tcW w:w="4624" w:type="dxa"/>
            <w:gridSpan w:val="7"/>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按收入性质分：</w:t>
            </w:r>
          </w:p>
        </w:tc>
        <w:tc>
          <w:tcPr>
            <w:tcW w:w="4636" w:type="dxa"/>
            <w:gridSpan w:val="7"/>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一般公共预算：</w:t>
            </w:r>
          </w:p>
        </w:tc>
        <w:tc>
          <w:tcPr>
            <w:tcW w:w="3458" w:type="dxa"/>
            <w:gridSpan w:val="6"/>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1411.94</w:t>
            </w:r>
          </w:p>
        </w:tc>
        <w:tc>
          <w:tcPr>
            <w:tcW w:w="926" w:type="dxa"/>
            <w:gridSpan w:val="2"/>
            <w:vMerge w:val="restart"/>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其中:基本支出：</w:t>
            </w:r>
          </w:p>
        </w:tc>
        <w:tc>
          <w:tcPr>
            <w:tcW w:w="3710" w:type="dxa"/>
            <w:gridSpan w:val="5"/>
            <w:vMerge w:val="restart"/>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1349.87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政府性基金拨款：</w:t>
            </w:r>
          </w:p>
        </w:tc>
        <w:tc>
          <w:tcPr>
            <w:tcW w:w="3458" w:type="dxa"/>
            <w:gridSpan w:val="6"/>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0.00</w:t>
            </w:r>
          </w:p>
        </w:tc>
        <w:tc>
          <w:tcPr>
            <w:tcW w:w="926" w:type="dxa"/>
            <w:gridSpan w:val="2"/>
            <w:vMerge w:val="continue"/>
            <w:noWrap w:val="0"/>
            <w:vAlign w:val="center"/>
          </w:tcPr>
          <w:p>
            <w:pPr>
              <w:jc w:val="center"/>
              <w:rPr>
                <w:rFonts w:hint="eastAsia" w:asciiTheme="minorEastAsia" w:hAnsiTheme="minorEastAsia" w:eastAsiaTheme="minorEastAsia" w:cstheme="minorEastAsia"/>
                <w:b w:val="0"/>
                <w:bCs w:val="0"/>
                <w:color w:val="000000"/>
                <w:kern w:val="0"/>
                <w:szCs w:val="21"/>
              </w:rPr>
            </w:pPr>
          </w:p>
        </w:tc>
        <w:tc>
          <w:tcPr>
            <w:tcW w:w="3710" w:type="dxa"/>
            <w:gridSpan w:val="5"/>
            <w:vMerge w:val="continue"/>
            <w:noWrap w:val="0"/>
            <w:vAlign w:val="center"/>
          </w:tcPr>
          <w:p>
            <w:pPr>
              <w:jc w:val="center"/>
              <w:rPr>
                <w:rFonts w:hint="eastAsia" w:asciiTheme="minorEastAsia" w:hAnsiTheme="minorEastAsia" w:eastAsiaTheme="minorEastAsia" w:cstheme="minorEastAsia"/>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纳入专户管理的非税收入拨款：</w:t>
            </w:r>
          </w:p>
        </w:tc>
        <w:tc>
          <w:tcPr>
            <w:tcW w:w="3458" w:type="dxa"/>
            <w:gridSpan w:val="6"/>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0.00</w:t>
            </w:r>
          </w:p>
        </w:tc>
        <w:tc>
          <w:tcPr>
            <w:tcW w:w="926" w:type="dxa"/>
            <w:gridSpan w:val="2"/>
            <w:vMerge w:val="restart"/>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项目支出：</w:t>
            </w:r>
          </w:p>
        </w:tc>
        <w:tc>
          <w:tcPr>
            <w:tcW w:w="3710" w:type="dxa"/>
            <w:gridSpan w:val="5"/>
            <w:vMerge w:val="restart"/>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62.07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其他资金</w:t>
            </w:r>
          </w:p>
        </w:tc>
        <w:tc>
          <w:tcPr>
            <w:tcW w:w="3458" w:type="dxa"/>
            <w:gridSpan w:val="6"/>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0.0</w:t>
            </w:r>
          </w:p>
        </w:tc>
        <w:tc>
          <w:tcPr>
            <w:tcW w:w="926" w:type="dxa"/>
            <w:gridSpan w:val="2"/>
            <w:vMerge w:val="continue"/>
            <w:noWrap w:val="0"/>
            <w:vAlign w:val="center"/>
          </w:tcPr>
          <w:p>
            <w:pPr>
              <w:jc w:val="center"/>
              <w:rPr>
                <w:rFonts w:hint="eastAsia" w:asciiTheme="minorEastAsia" w:hAnsiTheme="minorEastAsia" w:eastAsiaTheme="minorEastAsia" w:cstheme="minorEastAsia"/>
                <w:b w:val="0"/>
                <w:bCs w:val="0"/>
                <w:color w:val="000000"/>
                <w:kern w:val="0"/>
                <w:szCs w:val="21"/>
              </w:rPr>
            </w:pPr>
          </w:p>
        </w:tc>
        <w:tc>
          <w:tcPr>
            <w:tcW w:w="3710" w:type="dxa"/>
            <w:gridSpan w:val="5"/>
            <w:vMerge w:val="continue"/>
            <w:noWrap w:val="0"/>
            <w:vAlign w:val="center"/>
          </w:tcPr>
          <w:p>
            <w:pPr>
              <w:jc w:val="center"/>
              <w:rPr>
                <w:rFonts w:hint="eastAsia" w:asciiTheme="minorEastAsia" w:hAnsiTheme="minorEastAsia" w:eastAsiaTheme="minorEastAsia" w:cstheme="minorEastAsia"/>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年度总体目标</w:t>
            </w:r>
          </w:p>
        </w:tc>
        <w:tc>
          <w:tcPr>
            <w:tcW w:w="4624" w:type="dxa"/>
            <w:gridSpan w:val="7"/>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预期目标</w:t>
            </w:r>
          </w:p>
        </w:tc>
        <w:tc>
          <w:tcPr>
            <w:tcW w:w="4636" w:type="dxa"/>
            <w:gridSpan w:val="7"/>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63" w:type="dxa"/>
            <w:vMerge w:val="continue"/>
            <w:noWrap w:val="0"/>
            <w:vAlign w:val="center"/>
          </w:tcPr>
          <w:p>
            <w:pPr>
              <w:jc w:val="center"/>
              <w:rPr>
                <w:rFonts w:hint="eastAsia" w:asciiTheme="minorEastAsia" w:hAnsiTheme="minorEastAsia" w:eastAsiaTheme="minorEastAsia" w:cstheme="minorEastAsia"/>
                <w:b w:val="0"/>
                <w:bCs w:val="0"/>
                <w:kern w:val="0"/>
                <w:szCs w:val="21"/>
              </w:rPr>
            </w:pPr>
          </w:p>
        </w:tc>
        <w:tc>
          <w:tcPr>
            <w:tcW w:w="4624" w:type="dxa"/>
            <w:gridSpan w:val="7"/>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照国家政策法规规定和本单位实际情况，建立健全财务基础管理制度和约束机制，依法、有效地使用财政资金，提高财政资金使用效率，在完成单位职能目标中合理分配人、财、物，使之达到较高的工作效率和水平。</w:t>
            </w:r>
          </w:p>
        </w:tc>
        <w:tc>
          <w:tcPr>
            <w:tcW w:w="4636" w:type="dxa"/>
            <w:gridSpan w:val="7"/>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6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7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一级指标</w:t>
            </w:r>
          </w:p>
        </w:tc>
        <w:tc>
          <w:tcPr>
            <w:tcW w:w="1223"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2"/>
                <w:szCs w:val="22"/>
                <w:u w:val="none"/>
                <w:lang w:val="en-US" w:eastAsia="zh-CN" w:bidi="ar"/>
              </w:rPr>
              <w:t>二级指标</w:t>
            </w:r>
          </w:p>
        </w:tc>
        <w:tc>
          <w:tcPr>
            <w:tcW w:w="1307" w:type="dxa"/>
            <w:gridSpan w:val="3"/>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三级指标</w:t>
            </w:r>
          </w:p>
        </w:tc>
        <w:tc>
          <w:tcPr>
            <w:tcW w:w="1073"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年度指标值</w:t>
            </w:r>
          </w:p>
        </w:tc>
        <w:tc>
          <w:tcPr>
            <w:tcW w:w="1217"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0"/>
                <w:szCs w:val="20"/>
                <w:u w:val="none"/>
                <w:lang w:val="en-US" w:eastAsia="zh-CN" w:bidi="ar"/>
              </w:rPr>
              <w:t>实际完成值</w:t>
            </w:r>
          </w:p>
        </w:tc>
        <w:tc>
          <w:tcPr>
            <w:tcW w:w="703"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分值</w:t>
            </w:r>
          </w:p>
        </w:tc>
        <w:tc>
          <w:tcPr>
            <w:tcW w:w="95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得分</w:t>
            </w:r>
          </w:p>
        </w:tc>
        <w:tc>
          <w:tcPr>
            <w:tcW w:w="1410"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2"/>
                <w:szCs w:val="22"/>
                <w:u w:val="none"/>
                <w:lang w:val="en-US" w:eastAsia="zh-CN"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产出指标</w:t>
            </w: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数量指标</w:t>
            </w:r>
          </w:p>
        </w:tc>
        <w:tc>
          <w:tcPr>
            <w:tcW w:w="1307" w:type="dxa"/>
            <w:gridSpan w:val="3"/>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小学毕业合格率</w:t>
            </w:r>
          </w:p>
        </w:tc>
        <w:tc>
          <w:tcPr>
            <w:tcW w:w="1073"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质量指标</w:t>
            </w:r>
          </w:p>
        </w:tc>
        <w:tc>
          <w:tcPr>
            <w:tcW w:w="1307" w:type="dxa"/>
            <w:gridSpan w:val="3"/>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校园系统建设完成率</w:t>
            </w:r>
          </w:p>
        </w:tc>
        <w:tc>
          <w:tcPr>
            <w:tcW w:w="1073" w:type="dxa"/>
            <w:gridSpan w:val="2"/>
            <w:noWrap w:val="0"/>
            <w:vAlign w:val="center"/>
          </w:tcPr>
          <w:p>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时效指标</w:t>
            </w:r>
          </w:p>
        </w:tc>
        <w:tc>
          <w:tcPr>
            <w:tcW w:w="1307" w:type="dxa"/>
            <w:gridSpan w:val="3"/>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食品安全达标率</w:t>
            </w:r>
          </w:p>
        </w:tc>
        <w:tc>
          <w:tcPr>
            <w:tcW w:w="107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效益指标</w:t>
            </w: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经济效益指标</w:t>
            </w:r>
          </w:p>
        </w:tc>
        <w:tc>
          <w:tcPr>
            <w:tcW w:w="1307" w:type="dxa"/>
            <w:gridSpan w:val="3"/>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学生入学数量增长率率</w:t>
            </w:r>
          </w:p>
        </w:tc>
        <w:tc>
          <w:tcPr>
            <w:tcW w:w="1073"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≥0%</w:t>
            </w:r>
          </w:p>
        </w:tc>
        <w:tc>
          <w:tcPr>
            <w:tcW w:w="121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＜0%</w:t>
            </w:r>
          </w:p>
        </w:tc>
        <w:tc>
          <w:tcPr>
            <w:tcW w:w="70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8</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社会效益指标</w:t>
            </w:r>
          </w:p>
        </w:tc>
        <w:tc>
          <w:tcPr>
            <w:tcW w:w="1307" w:type="dxa"/>
            <w:gridSpan w:val="3"/>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学校安全事故发生次数</w:t>
            </w:r>
          </w:p>
        </w:tc>
        <w:tc>
          <w:tcPr>
            <w:tcW w:w="1073"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0次</w:t>
            </w:r>
          </w:p>
        </w:tc>
        <w:tc>
          <w:tcPr>
            <w:tcW w:w="1217"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0次</w:t>
            </w:r>
          </w:p>
        </w:tc>
        <w:tc>
          <w:tcPr>
            <w:tcW w:w="70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生态效益指标</w:t>
            </w:r>
          </w:p>
        </w:tc>
        <w:tc>
          <w:tcPr>
            <w:tcW w:w="1307" w:type="dxa"/>
            <w:gridSpan w:val="3"/>
            <w:noWrap w:val="0"/>
            <w:vAlign w:val="center"/>
          </w:tcPr>
          <w:p>
            <w:pPr>
              <w:jc w:val="center"/>
              <w:rPr>
                <w:rFonts w:hint="eastAsia" w:eastAsia="仿宋_GB2312"/>
                <w:color w:val="000000"/>
                <w:kern w:val="0"/>
                <w:sz w:val="15"/>
                <w:szCs w:val="15"/>
              </w:rPr>
            </w:pPr>
          </w:p>
        </w:tc>
        <w:tc>
          <w:tcPr>
            <w:tcW w:w="1073" w:type="dxa"/>
            <w:gridSpan w:val="2"/>
            <w:noWrap w:val="0"/>
            <w:vAlign w:val="center"/>
          </w:tcPr>
          <w:p>
            <w:pPr>
              <w:jc w:val="center"/>
              <w:rPr>
                <w:rFonts w:hint="eastAsia" w:eastAsia="仿宋_GB2312"/>
                <w:color w:val="000000"/>
                <w:kern w:val="0"/>
                <w:sz w:val="15"/>
                <w:szCs w:val="15"/>
              </w:rPr>
            </w:pPr>
          </w:p>
        </w:tc>
        <w:tc>
          <w:tcPr>
            <w:tcW w:w="1217" w:type="dxa"/>
            <w:gridSpan w:val="2"/>
            <w:noWrap w:val="0"/>
            <w:vAlign w:val="center"/>
          </w:tcPr>
          <w:p>
            <w:pPr>
              <w:jc w:val="center"/>
              <w:rPr>
                <w:rFonts w:hint="eastAsia" w:eastAsia="仿宋_GB2312"/>
                <w:color w:val="000000"/>
                <w:kern w:val="0"/>
                <w:sz w:val="15"/>
                <w:szCs w:val="15"/>
              </w:rPr>
            </w:pPr>
          </w:p>
        </w:tc>
        <w:tc>
          <w:tcPr>
            <w:tcW w:w="703" w:type="dxa"/>
            <w:gridSpan w:val="2"/>
            <w:noWrap w:val="0"/>
            <w:vAlign w:val="center"/>
          </w:tcPr>
          <w:p>
            <w:pPr>
              <w:jc w:val="center"/>
              <w:rPr>
                <w:rFonts w:hint="eastAsia" w:eastAsia="仿宋_GB2312"/>
                <w:color w:val="000000"/>
                <w:kern w:val="0"/>
                <w:sz w:val="15"/>
                <w:szCs w:val="15"/>
              </w:rPr>
            </w:pPr>
          </w:p>
        </w:tc>
        <w:tc>
          <w:tcPr>
            <w:tcW w:w="951" w:type="dxa"/>
            <w:noWrap w:val="0"/>
            <w:vAlign w:val="center"/>
          </w:tcPr>
          <w:p>
            <w:pPr>
              <w:rPr>
                <w:rFonts w:eastAsia="仿宋_GB2312"/>
                <w:color w:val="000000"/>
                <w:kern w:val="0"/>
                <w:sz w:val="15"/>
                <w:szCs w:val="15"/>
              </w:rPr>
            </w:pP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可持续影响指标</w:t>
            </w:r>
          </w:p>
        </w:tc>
        <w:tc>
          <w:tcPr>
            <w:tcW w:w="1307" w:type="dxa"/>
            <w:gridSpan w:val="3"/>
            <w:noWrap w:val="0"/>
            <w:vAlign w:val="center"/>
          </w:tcPr>
          <w:p>
            <w:pPr>
              <w:jc w:val="center"/>
              <w:rPr>
                <w:rFonts w:hint="eastAsia" w:eastAsia="仿宋_GB2312"/>
                <w:color w:val="000000"/>
                <w:kern w:val="0"/>
                <w:sz w:val="15"/>
                <w:szCs w:val="15"/>
              </w:rPr>
            </w:pPr>
          </w:p>
        </w:tc>
        <w:tc>
          <w:tcPr>
            <w:tcW w:w="1073" w:type="dxa"/>
            <w:gridSpan w:val="2"/>
            <w:noWrap w:val="0"/>
            <w:vAlign w:val="center"/>
          </w:tcPr>
          <w:p>
            <w:pPr>
              <w:jc w:val="center"/>
              <w:rPr>
                <w:rFonts w:eastAsia="仿宋_GB2312"/>
                <w:color w:val="000000"/>
                <w:kern w:val="0"/>
                <w:sz w:val="15"/>
                <w:szCs w:val="15"/>
              </w:rPr>
            </w:pPr>
          </w:p>
        </w:tc>
        <w:tc>
          <w:tcPr>
            <w:tcW w:w="1217" w:type="dxa"/>
            <w:gridSpan w:val="2"/>
            <w:noWrap w:val="0"/>
            <w:vAlign w:val="center"/>
          </w:tcPr>
          <w:p>
            <w:pPr>
              <w:jc w:val="center"/>
              <w:rPr>
                <w:rFonts w:eastAsia="仿宋_GB2312"/>
                <w:color w:val="000000"/>
                <w:kern w:val="0"/>
                <w:sz w:val="15"/>
                <w:szCs w:val="15"/>
              </w:rPr>
            </w:pPr>
          </w:p>
        </w:tc>
        <w:tc>
          <w:tcPr>
            <w:tcW w:w="703" w:type="dxa"/>
            <w:gridSpan w:val="2"/>
            <w:noWrap w:val="0"/>
            <w:vAlign w:val="center"/>
          </w:tcPr>
          <w:p>
            <w:pPr>
              <w:jc w:val="center"/>
              <w:rPr>
                <w:rFonts w:hint="eastAsia" w:eastAsia="仿宋_GB2312"/>
                <w:color w:val="000000"/>
                <w:kern w:val="0"/>
                <w:sz w:val="15"/>
                <w:szCs w:val="15"/>
              </w:rPr>
            </w:pPr>
          </w:p>
        </w:tc>
        <w:tc>
          <w:tcPr>
            <w:tcW w:w="951" w:type="dxa"/>
            <w:noWrap w:val="0"/>
            <w:vAlign w:val="center"/>
          </w:tcPr>
          <w:p>
            <w:pPr>
              <w:rPr>
                <w:rFonts w:eastAsia="仿宋_GB2312"/>
                <w:color w:val="000000"/>
                <w:kern w:val="0"/>
                <w:sz w:val="15"/>
                <w:szCs w:val="15"/>
              </w:rPr>
            </w:pP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满意度指标</w:t>
            </w: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1307" w:type="dxa"/>
            <w:gridSpan w:val="3"/>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家长满意度指标</w:t>
            </w:r>
          </w:p>
        </w:tc>
        <w:tc>
          <w:tcPr>
            <w:tcW w:w="107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restart"/>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成本指标</w:t>
            </w: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经济成本指标</w:t>
            </w:r>
          </w:p>
        </w:tc>
        <w:tc>
          <w:tcPr>
            <w:tcW w:w="1307" w:type="dxa"/>
            <w:gridSpan w:val="3"/>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行政效率指标率</w:t>
            </w:r>
          </w:p>
        </w:tc>
        <w:tc>
          <w:tcPr>
            <w:tcW w:w="107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社会成本指标</w:t>
            </w:r>
          </w:p>
        </w:tc>
        <w:tc>
          <w:tcPr>
            <w:tcW w:w="1307" w:type="dxa"/>
            <w:gridSpan w:val="3"/>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资金使用合规性</w:t>
            </w:r>
          </w:p>
        </w:tc>
        <w:tc>
          <w:tcPr>
            <w:tcW w:w="1073"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合规</w:t>
            </w:r>
          </w:p>
        </w:tc>
        <w:tc>
          <w:tcPr>
            <w:tcW w:w="1217"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合规</w:t>
            </w:r>
          </w:p>
        </w:tc>
        <w:tc>
          <w:tcPr>
            <w:tcW w:w="70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gridSpan w:val="2"/>
            <w:vMerge w:val="continue"/>
            <w:noWrap w:val="0"/>
            <w:vAlign w:val="center"/>
          </w:tcPr>
          <w:p>
            <w:pPr>
              <w:rPr>
                <w:rFonts w:eastAsia="仿宋_GB2312"/>
                <w:color w:val="000000"/>
                <w:kern w:val="0"/>
                <w:szCs w:val="21"/>
              </w:rPr>
            </w:pPr>
          </w:p>
        </w:tc>
        <w:tc>
          <w:tcPr>
            <w:tcW w:w="122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生态环境成本指标</w:t>
            </w:r>
          </w:p>
        </w:tc>
        <w:tc>
          <w:tcPr>
            <w:tcW w:w="1307" w:type="dxa"/>
            <w:gridSpan w:val="3"/>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校园环境改善指标</w:t>
            </w:r>
          </w:p>
        </w:tc>
        <w:tc>
          <w:tcPr>
            <w:tcW w:w="1073"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改善</w:t>
            </w:r>
          </w:p>
        </w:tc>
        <w:tc>
          <w:tcPr>
            <w:tcW w:w="1217" w:type="dxa"/>
            <w:gridSpan w:val="2"/>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改善</w:t>
            </w:r>
          </w:p>
        </w:tc>
        <w:tc>
          <w:tcPr>
            <w:tcW w:w="703" w:type="dxa"/>
            <w:gridSpan w:val="2"/>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59" w:type="dxa"/>
            <w:gridSpan w:val="11"/>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3" w:type="dxa"/>
            <w:gridSpan w:val="2"/>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951" w:type="dxa"/>
            <w:noWrap w:val="0"/>
            <w:vAlign w:val="center"/>
          </w:tcPr>
          <w:p>
            <w:pPr>
              <w:widowControl/>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98</w:t>
            </w:r>
          </w:p>
        </w:tc>
        <w:tc>
          <w:tcPr>
            <w:tcW w:w="141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val="en-US" w:eastAsia="zh-CN"/>
        </w:rPr>
        <w:t>江永县粗石江镇中心小学</w:t>
      </w:r>
      <w:r>
        <w:rPr>
          <w:rFonts w:ascii="方正小标宋_GBK" w:hAnsi="方正小标宋_GBK" w:eastAsia="方正小标宋_GBK"/>
          <w:kern w:val="0"/>
          <w:sz w:val="44"/>
          <w:szCs w:val="44"/>
        </w:rPr>
        <w:t>部门整体支出绩效评价表</w:t>
      </w:r>
    </w:p>
    <w:tbl>
      <w:tblPr>
        <w:tblStyle w:val="3"/>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hint="eastAsia" w:eastAsia="仿宋_GB2312"/>
                <w:kern w:val="0"/>
                <w:sz w:val="20"/>
                <w:szCs w:val="20"/>
                <w:lang w:eastAsia="zh-CN"/>
              </w:rPr>
              <w:t>“三公”经费</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color w:val="FF0000"/>
                <w:kern w:val="0"/>
                <w:sz w:val="24"/>
              </w:rPr>
              <w:t>　</w:t>
            </w:r>
            <w:r>
              <w:rPr>
                <w:rFonts w:hint="eastAsia"/>
                <w:color w:val="000000"/>
                <w:kern w:val="0"/>
                <w:sz w:val="24"/>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color w:val="000000"/>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实际支出数</w:t>
            </w:r>
            <w:r>
              <w:rPr>
                <w:rFonts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eastAsia="zh-CN"/>
              </w:rPr>
            </w:pPr>
            <w:r>
              <w:rPr>
                <w:rFonts w:hint="eastAsia"/>
                <w:kern w:val="0"/>
                <w:sz w:val="24"/>
                <w:lang w:val="en-US" w:eastAsia="zh-CN"/>
              </w:rPr>
              <w:t>7</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rFonts w:hint="eastAsia" w:eastAsia="宋体"/>
                <w:kern w:val="0"/>
                <w:sz w:val="24"/>
                <w:lang w:eastAsia="zh-CN"/>
              </w:rPr>
            </w:pPr>
            <w:r>
              <w:rPr>
                <w:kern w:val="0"/>
                <w:sz w:val="24"/>
              </w:rPr>
              <w:t>　</w:t>
            </w:r>
            <w:r>
              <w:rPr>
                <w:rFonts w:hint="eastAsia"/>
                <w:kern w:val="0"/>
                <w:sz w:val="24"/>
                <w:lang w:val="en-US" w:eastAsia="zh-CN"/>
              </w:rPr>
              <w:t>8</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98</w:t>
            </w:r>
          </w:p>
        </w:tc>
      </w:tr>
    </w:tbl>
    <w:p/>
    <w:p>
      <w:pPr>
        <w:widowControl/>
      </w:pPr>
    </w:p>
    <w:p>
      <w:pPr>
        <w:widowControl/>
      </w:pPr>
    </w:p>
    <w:p>
      <w:pPr>
        <w:widowControl/>
      </w:pPr>
    </w:p>
    <w:p>
      <w:pPr>
        <w:widowControl/>
      </w:pP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标准化食堂改造</w:t>
      </w:r>
      <w:r>
        <w:rPr>
          <w:rFonts w:hint="eastAsia" w:ascii="方正小标宋_GBK" w:hAnsi="方正小标宋_GBK" w:eastAsia="方正小标宋_GBK" w:cs="方正小标宋_GBK"/>
          <w:sz w:val="44"/>
          <w:szCs w:val="44"/>
        </w:rPr>
        <w:t>专项2023年度绩效</w:t>
      </w: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自评报告</w:t>
      </w:r>
    </w:p>
    <w:p>
      <w:pPr>
        <w:spacing w:line="560" w:lineRule="exact"/>
        <w:jc w:val="center"/>
        <w:rPr>
          <w:rFonts w:hint="eastAsia" w:ascii="方正小标宋_GBK" w:hAnsi="方正小标宋_GBK" w:eastAsia="方正小标宋_GBK" w:cs="方正小标宋_GBK"/>
          <w:sz w:val="44"/>
          <w:szCs w:val="44"/>
        </w:rPr>
      </w:pP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一、项目概况</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（一）项目单位基本情况</w:t>
      </w:r>
    </w:p>
    <w:p>
      <w:pPr>
        <w:keepNext w:val="0"/>
        <w:keepLines w:val="0"/>
        <w:pageBreakBefore w:val="0"/>
        <w:widowControl w:val="0"/>
        <w:numPr>
          <w:ilvl w:val="0"/>
          <w:numId w:val="0"/>
        </w:numPr>
        <w:tabs>
          <w:tab w:val="left" w:pos="769"/>
        </w:tabs>
        <w:kinsoku/>
        <w:wordWrap/>
        <w:overflowPunct/>
        <w:topLinePunct w:val="0"/>
        <w:autoSpaceDE/>
        <w:autoSpaceDN/>
        <w:bidi w:val="0"/>
        <w:adjustRightInd w:val="0"/>
        <w:snapToGrid w:val="0"/>
        <w:spacing w:line="520" w:lineRule="exact"/>
        <w:ind w:firstLine="640" w:firstLineChars="200"/>
        <w:jc w:val="both"/>
        <w:textAlignment w:val="auto"/>
        <w:rPr>
          <w:rFonts w:hint="eastAsia" w:ascii="楷体_GB2312" w:hAnsi="楷体_GB2312" w:eastAsia="楷体_GB2312" w:cs="楷体_GB2312"/>
          <w:bCs/>
          <w:sz w:val="32"/>
          <w:szCs w:val="32"/>
        </w:rPr>
      </w:pPr>
      <w:r>
        <w:rPr>
          <w:rFonts w:hint="eastAsia" w:ascii="仿宋" w:hAnsi="仿宋" w:eastAsia="仿宋" w:cs="仿宋"/>
          <w:sz w:val="32"/>
          <w:szCs w:val="32"/>
          <w:lang w:val="en-US" w:eastAsia="zh-CN"/>
        </w:rPr>
        <w:t>粗石江镇中心小学本部成立于1942年，旧址在粗石江镇下街张公庙内，1953年升格为完全小学，1982年更名为粗石江镇中心小学，于1988年9月迁入现址，服务于10多个行政村，占地面积约50598平方米，建筑面积11680平方米。学校秉承“以人为本，以德为先，知书达理，求实创新，全面发展，健康文明成长”的办学育人新理念，教育引导学生学会做人，学会求知、学会健体、学会审美、学会劳动。</w:t>
      </w:r>
    </w:p>
    <w:p>
      <w:pPr>
        <w:numPr>
          <w:ilvl w:val="0"/>
          <w:numId w:val="5"/>
        </w:num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项目基本情况</w:t>
      </w:r>
    </w:p>
    <w:p>
      <w:pPr>
        <w:numPr>
          <w:ilvl w:val="0"/>
          <w:numId w:val="0"/>
        </w:numPr>
        <w:spacing w:line="560" w:lineRule="exact"/>
        <w:rPr>
          <w:rFonts w:hint="default" w:ascii="仿宋" w:hAnsi="仿宋" w:eastAsia="仿宋" w:cs="仿宋"/>
          <w:sz w:val="32"/>
          <w:szCs w:val="32"/>
          <w:lang w:val="en-US" w:eastAsia="zh-CN"/>
        </w:rPr>
      </w:pPr>
      <w:r>
        <w:rPr>
          <w:rFonts w:hint="eastAsia" w:ascii="楷体_GB2312" w:hAnsi="楷体_GB2312" w:eastAsia="楷体_GB2312" w:cs="楷体_GB2312"/>
          <w:bCs/>
          <w:sz w:val="32"/>
          <w:szCs w:val="32"/>
          <w:lang w:val="en-US" w:eastAsia="zh-CN"/>
        </w:rPr>
        <w:t xml:space="preserve">    </w:t>
      </w:r>
      <w:r>
        <w:rPr>
          <w:rFonts w:hint="eastAsia" w:ascii="仿宋" w:hAnsi="仿宋" w:eastAsia="仿宋" w:cs="仿宋"/>
          <w:sz w:val="32"/>
          <w:szCs w:val="32"/>
          <w:lang w:val="en-US" w:eastAsia="zh-CN"/>
        </w:rPr>
        <w:t>根据县发改局2020年3月13日核准的关于江永县粗石江镇中心小学标准化食堂改造工程项目，用于满足学生的就餐需求，对食堂进行标准化改造支出。</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二、项目资金使用及管理情况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1.项目资金情况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项目资金16.27万元</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2.执行情况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2023年度,江永县安排资金16.27万元，用于</w:t>
      </w:r>
      <w:r>
        <w:rPr>
          <w:rFonts w:hint="eastAsia" w:ascii="仿宋_GB2312" w:hAnsi="仿宋_GB2312" w:eastAsia="仿宋_GB2312" w:cs="仿宋_GB2312"/>
          <w:bCs/>
          <w:sz w:val="32"/>
          <w:szCs w:val="32"/>
          <w:lang w:val="en-US" w:eastAsia="zh-CN"/>
        </w:rPr>
        <w:t>对食堂进行标准化改造</w:t>
      </w:r>
      <w:r>
        <w:rPr>
          <w:rFonts w:hint="eastAsia" w:ascii="仿宋_GB2312" w:hAnsi="仿宋_GB2312" w:eastAsia="仿宋_GB2312" w:cs="仿宋_GB2312"/>
          <w:bCs/>
          <w:sz w:val="32"/>
          <w:szCs w:val="32"/>
        </w:rPr>
        <w:t>支出。</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三、项目组织实施情况</w:t>
      </w:r>
    </w:p>
    <w:p>
      <w:pPr>
        <w:spacing w:line="560" w:lineRule="exact"/>
        <w:ind w:firstLine="640" w:firstLineChars="200"/>
        <w:rPr>
          <w:rFonts w:hint="default" w:ascii="黑体" w:hAnsi="黑体" w:eastAsia="黑体" w:cs="黑体"/>
          <w:bCs/>
          <w:sz w:val="32"/>
          <w:szCs w:val="32"/>
          <w:lang w:val="en-US"/>
        </w:rPr>
      </w:pPr>
      <w:r>
        <w:rPr>
          <w:rFonts w:hint="eastAsia" w:ascii="仿宋_GB2312" w:hAnsi="仿宋_GB2312" w:eastAsia="仿宋_GB2312" w:cs="仿宋_GB2312"/>
          <w:sz w:val="32"/>
          <w:szCs w:val="32"/>
          <w:lang w:val="en-US" w:eastAsia="zh-CN"/>
        </w:rPr>
        <w:t>2020年4月30日进行验收，验收合格，主要内容：室内装修、室外档土墙围墙、硬化、水电等，已按签证单完成全部项目。</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四、项目绩效情况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1.项目经济性分析。2023年县财政安排</w:t>
      </w:r>
      <w:r>
        <w:rPr>
          <w:rFonts w:hint="eastAsia" w:ascii="仿宋_GB2312" w:hAnsi="仿宋_GB2312" w:eastAsia="仿宋_GB2312" w:cs="仿宋_GB2312"/>
          <w:bCs/>
          <w:sz w:val="32"/>
          <w:szCs w:val="32"/>
          <w:lang w:val="en-US" w:eastAsia="zh-CN"/>
        </w:rPr>
        <w:t>资金16.27</w:t>
      </w:r>
      <w:r>
        <w:rPr>
          <w:rFonts w:hint="eastAsia" w:ascii="仿宋_GB2312" w:hAnsi="仿宋_GB2312" w:eastAsia="仿宋_GB2312" w:cs="仿宋_GB2312"/>
          <w:bCs/>
          <w:sz w:val="32"/>
          <w:szCs w:val="32"/>
        </w:rPr>
        <w:t>万元，本着“少花钱、多办事、办好事”的原则，项目总支出</w:t>
      </w:r>
      <w:r>
        <w:rPr>
          <w:rFonts w:hint="eastAsia" w:ascii="仿宋_GB2312" w:hAnsi="仿宋_GB2312" w:eastAsia="仿宋_GB2312" w:cs="仿宋_GB2312"/>
          <w:bCs/>
          <w:sz w:val="32"/>
          <w:szCs w:val="32"/>
          <w:lang w:val="en-US" w:eastAsia="zh-CN"/>
        </w:rPr>
        <w:t>16.27</w:t>
      </w:r>
      <w:r>
        <w:rPr>
          <w:rFonts w:hint="eastAsia" w:ascii="仿宋_GB2312" w:hAnsi="仿宋_GB2312" w:eastAsia="仿宋_GB2312" w:cs="仿宋_GB2312"/>
          <w:bCs/>
          <w:sz w:val="32"/>
          <w:szCs w:val="32"/>
        </w:rPr>
        <w:t>万元，资金收支平衡。</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2.项目的效率性分析。项目的实施完成率100%。</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3.项目的效益性分析。年度项目完工率100%，资金预算完成率100%。</w:t>
      </w:r>
      <w:r>
        <w:rPr>
          <w:rFonts w:hint="eastAsia" w:ascii="仿宋_GB2312" w:hAnsi="仿宋_GB2312" w:eastAsia="仿宋_GB2312" w:cs="仿宋_GB2312"/>
          <w:sz w:val="32"/>
          <w:szCs w:val="32"/>
        </w:rPr>
        <w:t>有力地促进</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lang w:val="en-US" w:eastAsia="zh-CN"/>
        </w:rPr>
        <w:t>满足学生食堂就餐需求</w:t>
      </w:r>
      <w:r>
        <w:rPr>
          <w:rFonts w:hint="eastAsia" w:ascii="仿宋_GB2312" w:hAnsi="仿宋_GB2312" w:eastAsia="仿宋_GB2312" w:cs="仿宋_GB2312"/>
          <w:sz w:val="32"/>
          <w:szCs w:val="32"/>
        </w:rPr>
        <w:t>。</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五、其他需要说明的问题</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（一）后续工作计划</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加强</w:t>
      </w:r>
      <w:r>
        <w:rPr>
          <w:rFonts w:hint="eastAsia" w:ascii="仿宋_GB2312" w:hAnsi="仿宋_GB2312" w:eastAsia="仿宋_GB2312" w:cs="仿宋_GB2312"/>
          <w:bCs/>
          <w:sz w:val="32"/>
          <w:szCs w:val="32"/>
          <w:lang w:val="en-US" w:eastAsia="zh-CN"/>
        </w:rPr>
        <w:t>食堂</w:t>
      </w:r>
      <w:r>
        <w:rPr>
          <w:rFonts w:hint="eastAsia" w:ascii="仿宋_GB2312" w:hAnsi="仿宋_GB2312" w:eastAsia="仿宋_GB2312" w:cs="仿宋_GB2312"/>
          <w:bCs/>
          <w:sz w:val="32"/>
          <w:szCs w:val="32"/>
        </w:rPr>
        <w:t>的日常管护工作。</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（二）主要经验及做法、存在的问题和建议</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1.主要经验及做法</w:t>
      </w:r>
    </w:p>
    <w:p>
      <w:pPr>
        <w:spacing w:line="560" w:lineRule="exact"/>
        <w:ind w:firstLine="640" w:firstLineChars="200"/>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时常维护食堂，保证学生就餐安全。</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2.存在的问题。</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3.建议</w:t>
      </w:r>
    </w:p>
    <w:p>
      <w:pPr>
        <w:spacing w:line="560" w:lineRule="exact"/>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color w:val="000000"/>
          <w:sz w:val="32"/>
          <w:szCs w:val="32"/>
          <w:lang w:val="en-US" w:eastAsia="zh-CN"/>
        </w:rPr>
        <w:t>无</w:t>
      </w:r>
    </w:p>
    <w:p>
      <w:pPr>
        <w:spacing w:line="560" w:lineRule="exact"/>
        <w:jc w:val="right"/>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江永县</w:t>
      </w:r>
      <w:r>
        <w:rPr>
          <w:rFonts w:hint="eastAsia" w:ascii="仿宋_GB2312" w:hAnsi="仿宋_GB2312" w:eastAsia="仿宋_GB2312" w:cs="仿宋_GB2312"/>
          <w:bCs/>
          <w:sz w:val="32"/>
          <w:szCs w:val="32"/>
          <w:lang w:val="en-US" w:eastAsia="zh-CN"/>
        </w:rPr>
        <w:t>粗石江镇中心小学</w:t>
      </w:r>
    </w:p>
    <w:p>
      <w:pPr>
        <w:spacing w:line="560" w:lineRule="exact"/>
        <w:jc w:val="righ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2024年</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月2</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日</w:t>
      </w:r>
    </w:p>
    <w:p>
      <w:pPr>
        <w:widowControl/>
        <w:spacing w:line="560" w:lineRule="exact"/>
        <w:jc w:val="center"/>
        <w:rPr>
          <w:rFonts w:eastAsia="方正小标宋_GBK"/>
          <w:color w:val="000000"/>
          <w:kern w:val="0"/>
          <w:sz w:val="44"/>
          <w:szCs w:val="44"/>
        </w:rPr>
      </w:pPr>
      <w:r>
        <w:rPr>
          <w:rFonts w:hint="eastAsia"/>
          <w:sz w:val="32"/>
          <w:szCs w:val="32"/>
        </w:rPr>
        <w:br w:type="page"/>
      </w:r>
      <w:r>
        <w:rPr>
          <w:rFonts w:eastAsia="方正小标宋_GBK"/>
          <w:color w:val="000000"/>
          <w:kern w:val="0"/>
          <w:sz w:val="44"/>
          <w:szCs w:val="44"/>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3"/>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pPr>
              <w:widowControl/>
              <w:jc w:val="center"/>
              <w:rPr>
                <w:rFonts w:hint="eastAsia" w:eastAsia="仿宋_GB2312"/>
                <w:color w:val="000000"/>
                <w:kern w:val="0"/>
                <w:szCs w:val="21"/>
              </w:rPr>
            </w:pPr>
            <w:r>
              <w:rPr>
                <w:rFonts w:hint="eastAsia" w:eastAsia="仿宋_GB2312"/>
                <w:color w:val="000000"/>
                <w:kern w:val="0"/>
                <w:szCs w:val="21"/>
                <w:lang w:val="en-US" w:eastAsia="zh-CN"/>
              </w:rPr>
              <w:t>标准化食堂改造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rPr>
              <w:t>江永县</w:t>
            </w:r>
            <w:r>
              <w:rPr>
                <w:rFonts w:hint="eastAsia" w:eastAsia="仿宋_GB2312"/>
                <w:color w:val="000000"/>
                <w:kern w:val="0"/>
                <w:szCs w:val="21"/>
                <w:lang w:val="en-US" w:eastAsia="zh-CN"/>
              </w:rPr>
              <w:t>教育局</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rPr>
              <w:t>江永县</w:t>
            </w:r>
            <w:r>
              <w:rPr>
                <w:rFonts w:hint="eastAsia" w:eastAsia="仿宋_GB2312"/>
                <w:color w:val="000000"/>
                <w:kern w:val="0"/>
                <w:szCs w:val="21"/>
                <w:lang w:val="en-US" w:eastAsia="zh-CN"/>
              </w:rPr>
              <w:t>粗石江镇中心小学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120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1134"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828"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10</w:t>
            </w:r>
          </w:p>
        </w:tc>
        <w:tc>
          <w:tcPr>
            <w:tcW w:w="873"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100.00%</w:t>
            </w:r>
          </w:p>
        </w:tc>
        <w:tc>
          <w:tcPr>
            <w:tcW w:w="1418"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120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1134"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828"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10</w:t>
            </w:r>
          </w:p>
        </w:tc>
        <w:tc>
          <w:tcPr>
            <w:tcW w:w="873" w:type="dxa"/>
            <w:noWrap w:val="0"/>
            <w:vAlign w:val="center"/>
          </w:tcPr>
          <w:p>
            <w:pPr>
              <w:jc w:val="center"/>
              <w:rPr>
                <w:rFonts w:hint="eastAsia" w:ascii="仿宋" w:hAnsi="仿宋" w:eastAsia="仿宋" w:cs="仿宋"/>
                <w:color w:val="000000"/>
                <w:kern w:val="0"/>
                <w:szCs w:val="21"/>
              </w:rPr>
            </w:pPr>
          </w:p>
        </w:tc>
        <w:tc>
          <w:tcPr>
            <w:tcW w:w="1418"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20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134"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828"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873" w:type="dxa"/>
            <w:noWrap w:val="0"/>
            <w:vAlign w:val="center"/>
          </w:tcPr>
          <w:p>
            <w:pPr>
              <w:jc w:val="center"/>
              <w:rPr>
                <w:rFonts w:hint="eastAsia" w:ascii="仿宋" w:hAnsi="仿宋" w:eastAsia="仿宋" w:cs="仿宋"/>
                <w:color w:val="000000"/>
                <w:kern w:val="0"/>
                <w:szCs w:val="21"/>
              </w:rPr>
            </w:pPr>
          </w:p>
        </w:tc>
        <w:tc>
          <w:tcPr>
            <w:tcW w:w="1418"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20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134"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828"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873"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418"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080" w:type="dxa"/>
            <w:vMerge w:val="continue"/>
            <w:noWrap w:val="0"/>
            <w:vAlign w:val="center"/>
          </w:tcPr>
          <w:p>
            <w:pPr>
              <w:widowControl/>
              <w:jc w:val="left"/>
              <w:rPr>
                <w:rFonts w:eastAsia="仿宋_GB2312"/>
                <w:color w:val="000000"/>
                <w:kern w:val="0"/>
                <w:szCs w:val="21"/>
              </w:rPr>
            </w:pPr>
          </w:p>
        </w:tc>
        <w:tc>
          <w:tcPr>
            <w:tcW w:w="4518" w:type="dxa"/>
            <w:gridSpan w:val="4"/>
            <w:noWrap w:val="0"/>
            <w:vAlign w:val="center"/>
          </w:tcPr>
          <w:p>
            <w:pPr>
              <w:spacing w:line="560" w:lineRule="exact"/>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完成本部食堂标准化建设</w:t>
            </w:r>
          </w:p>
        </w:tc>
        <w:tc>
          <w:tcPr>
            <w:tcW w:w="4253" w:type="dxa"/>
            <w:gridSpan w:val="4"/>
            <w:noWrap w:val="0"/>
            <w:vAlign w:val="center"/>
          </w:tcPr>
          <w:p>
            <w:pPr>
              <w:spacing w:line="560" w:lineRule="exact"/>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　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绩效指标</w:t>
            </w:r>
          </w:p>
        </w:tc>
        <w:tc>
          <w:tcPr>
            <w:tcW w:w="1080"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一级指标</w:t>
            </w:r>
          </w:p>
        </w:tc>
        <w:tc>
          <w:tcPr>
            <w:tcW w:w="1080"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二级指标</w:t>
            </w:r>
          </w:p>
        </w:tc>
        <w:tc>
          <w:tcPr>
            <w:tcW w:w="1149"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三级指标</w:t>
            </w:r>
          </w:p>
        </w:tc>
        <w:tc>
          <w:tcPr>
            <w:tcW w:w="1209"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年度指标值</w:t>
            </w:r>
          </w:p>
        </w:tc>
        <w:tc>
          <w:tcPr>
            <w:tcW w:w="1134"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实际完成值</w:t>
            </w:r>
          </w:p>
        </w:tc>
        <w:tc>
          <w:tcPr>
            <w:tcW w:w="82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分值</w:t>
            </w:r>
          </w:p>
        </w:tc>
        <w:tc>
          <w:tcPr>
            <w:tcW w:w="873"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得分</w:t>
            </w:r>
          </w:p>
        </w:tc>
        <w:tc>
          <w:tcPr>
            <w:tcW w:w="141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080"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产出指标</w:t>
            </w:r>
          </w:p>
        </w:tc>
        <w:tc>
          <w:tcPr>
            <w:tcW w:w="1080"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数量指标</w:t>
            </w:r>
          </w:p>
        </w:tc>
        <w:tc>
          <w:tcPr>
            <w:tcW w:w="1149"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改造工程数量</w:t>
            </w:r>
          </w:p>
        </w:tc>
        <w:tc>
          <w:tcPr>
            <w:tcW w:w="1209"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≥1个</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≥1个</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080"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质量指标</w:t>
            </w:r>
          </w:p>
        </w:tc>
        <w:tc>
          <w:tcPr>
            <w:tcW w:w="1149"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项目设计变更率</w:t>
            </w:r>
          </w:p>
        </w:tc>
        <w:tc>
          <w:tcPr>
            <w:tcW w:w="1209"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≤5%</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≤5%</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149"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竣工验收合格率</w:t>
            </w:r>
          </w:p>
        </w:tc>
        <w:tc>
          <w:tcPr>
            <w:tcW w:w="1209"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080"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时效指标</w:t>
            </w:r>
          </w:p>
        </w:tc>
        <w:tc>
          <w:tcPr>
            <w:tcW w:w="1149"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项目按计划开工率</w:t>
            </w:r>
          </w:p>
        </w:tc>
        <w:tc>
          <w:tcPr>
            <w:tcW w:w="1209"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149"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项目按计划完工率</w:t>
            </w:r>
          </w:p>
        </w:tc>
        <w:tc>
          <w:tcPr>
            <w:tcW w:w="1209"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080" w:type="dxa"/>
            <w:vMerge w:val="restart"/>
            <w:noWrap w:val="0"/>
            <w:vAlign w:val="center"/>
          </w:tcPr>
          <w:p>
            <w:pPr>
              <w:jc w:val="center"/>
              <w:rPr>
                <w:rFonts w:eastAsia="仿宋_GB2312"/>
                <w:color w:val="000000"/>
                <w:kern w:val="0"/>
                <w:szCs w:val="21"/>
              </w:rPr>
            </w:pPr>
          </w:p>
        </w:tc>
        <w:tc>
          <w:tcPr>
            <w:tcW w:w="1080" w:type="dxa"/>
            <w:vMerge w:val="restart"/>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社会效益指标</w:t>
            </w:r>
          </w:p>
        </w:tc>
        <w:tc>
          <w:tcPr>
            <w:tcW w:w="1149"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建筑综合利用率</w:t>
            </w:r>
          </w:p>
        </w:tc>
        <w:tc>
          <w:tcPr>
            <w:tcW w:w="1209"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149"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设施正常运转率</w:t>
            </w:r>
          </w:p>
        </w:tc>
        <w:tc>
          <w:tcPr>
            <w:tcW w:w="1209"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080" w:type="dxa"/>
            <w:vMerge w:val="continue"/>
            <w:noWrap w:val="0"/>
            <w:vAlign w:val="center"/>
          </w:tcPr>
          <w:p>
            <w:pPr>
              <w:jc w:val="center"/>
              <w:rPr>
                <w:rFonts w:eastAsia="仿宋_GB2312"/>
                <w:color w:val="000000"/>
                <w:kern w:val="0"/>
                <w:szCs w:val="21"/>
              </w:rPr>
            </w:pPr>
          </w:p>
        </w:tc>
        <w:tc>
          <w:tcPr>
            <w:tcW w:w="1149" w:type="dxa"/>
            <w:noWrap w:val="0"/>
            <w:vAlign w:val="center"/>
          </w:tcPr>
          <w:p>
            <w:pPr>
              <w:keepNext w:val="0"/>
              <w:keepLines w:val="0"/>
              <w:widowControl/>
              <w:suppressLineNumbers w:val="0"/>
              <w:jc w:val="left"/>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项目受益人数</w:t>
            </w:r>
          </w:p>
        </w:tc>
        <w:tc>
          <w:tcPr>
            <w:tcW w:w="1209"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1416人</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1416人</w:t>
            </w:r>
          </w:p>
        </w:tc>
        <w:tc>
          <w:tcPr>
            <w:tcW w:w="828"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080"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满意度指标</w:t>
            </w:r>
          </w:p>
        </w:tc>
        <w:tc>
          <w:tcPr>
            <w:tcW w:w="1080"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服务对象满意度指标</w:t>
            </w:r>
          </w:p>
        </w:tc>
        <w:tc>
          <w:tcPr>
            <w:tcW w:w="1149" w:type="dxa"/>
            <w:noWrap w:val="0"/>
            <w:vAlign w:val="center"/>
          </w:tcPr>
          <w:p>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受益群体满意度</w:t>
            </w:r>
          </w:p>
        </w:tc>
        <w:tc>
          <w:tcPr>
            <w:tcW w:w="1209"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pPr>
              <w:jc w:val="center"/>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总分</w:t>
            </w:r>
          </w:p>
        </w:tc>
        <w:tc>
          <w:tcPr>
            <w:tcW w:w="828"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90</w:t>
            </w:r>
          </w:p>
        </w:tc>
        <w:tc>
          <w:tcPr>
            <w:tcW w:w="873" w:type="dxa"/>
            <w:noWrap w:val="0"/>
            <w:vAlign w:val="center"/>
          </w:tcPr>
          <w:p>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90</w:t>
            </w:r>
          </w:p>
        </w:tc>
        <w:tc>
          <w:tcPr>
            <w:tcW w:w="1418" w:type="dxa"/>
            <w:noWrap w:val="0"/>
            <w:vAlign w:val="center"/>
          </w:tcPr>
          <w:p>
            <w:pPr>
              <w:jc w:val="center"/>
              <w:rPr>
                <w:rFonts w:eastAsia="仿宋_GB2312"/>
                <w:color w:val="000000"/>
                <w:kern w:val="0"/>
                <w:sz w:val="15"/>
                <w:szCs w:val="15"/>
              </w:rPr>
            </w:pPr>
          </w:p>
        </w:tc>
      </w:tr>
    </w:tbl>
    <w:p>
      <w:pPr>
        <w:spacing w:line="560" w:lineRule="exact"/>
        <w:jc w:val="center"/>
        <w:rPr>
          <w:rFonts w:hint="eastAsia" w:ascii="方正小标宋_GBK" w:hAnsi="方正小标宋_GBK" w:eastAsia="方正小标宋_GBK" w:cs="方正小标宋_GBK"/>
          <w:sz w:val="44"/>
          <w:szCs w:val="44"/>
          <w:lang w:val="en-US" w:eastAsia="zh-CN"/>
        </w:rPr>
      </w:pPr>
    </w:p>
    <w:p>
      <w:pPr>
        <w:spacing w:line="560" w:lineRule="exact"/>
        <w:jc w:val="center"/>
        <w:rPr>
          <w:rFonts w:hint="eastAsia" w:ascii="方正小标宋_GBK" w:hAnsi="方正小标宋_GBK" w:eastAsia="方正小标宋_GBK" w:cs="方正小标宋_GBK"/>
          <w:sz w:val="44"/>
          <w:szCs w:val="44"/>
          <w:lang w:val="en-US" w:eastAsia="zh-CN"/>
        </w:rPr>
      </w:pPr>
    </w:p>
    <w:p>
      <w:pPr>
        <w:spacing w:line="560" w:lineRule="exact"/>
        <w:jc w:val="center"/>
        <w:rPr>
          <w:rFonts w:hint="eastAsia" w:ascii="方正小标宋_GBK" w:hAnsi="方正小标宋_GBK" w:eastAsia="方正小标宋_GBK" w:cs="方正小标宋_GBK"/>
          <w:sz w:val="44"/>
          <w:szCs w:val="44"/>
          <w:lang w:val="en-US" w:eastAsia="zh-CN"/>
        </w:rPr>
      </w:pP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分布式智慧图书馆采购</w:t>
      </w:r>
      <w:r>
        <w:rPr>
          <w:rFonts w:hint="eastAsia" w:ascii="方正小标宋_GBK" w:hAnsi="方正小标宋_GBK" w:eastAsia="方正小标宋_GBK" w:cs="方正小标宋_GBK"/>
          <w:sz w:val="44"/>
          <w:szCs w:val="44"/>
        </w:rPr>
        <w:t>专项2023年度绩效</w:t>
      </w: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自评报告</w:t>
      </w:r>
    </w:p>
    <w:p>
      <w:pPr>
        <w:spacing w:line="560" w:lineRule="exact"/>
        <w:jc w:val="center"/>
        <w:rPr>
          <w:rFonts w:hint="eastAsia" w:ascii="方正小标宋_GBK" w:hAnsi="方正小标宋_GBK" w:eastAsia="方正小标宋_GBK" w:cs="方正小标宋_GBK"/>
          <w:sz w:val="44"/>
          <w:szCs w:val="44"/>
        </w:rPr>
      </w:pP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一、项目概况</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（一）项目单位基本情况</w:t>
      </w:r>
    </w:p>
    <w:p>
      <w:pPr>
        <w:keepNext w:val="0"/>
        <w:keepLines w:val="0"/>
        <w:pageBreakBefore w:val="0"/>
        <w:widowControl w:val="0"/>
        <w:numPr>
          <w:ilvl w:val="0"/>
          <w:numId w:val="0"/>
        </w:numPr>
        <w:tabs>
          <w:tab w:val="left" w:pos="769"/>
        </w:tabs>
        <w:kinsoku/>
        <w:wordWrap/>
        <w:overflowPunct/>
        <w:topLinePunct w:val="0"/>
        <w:autoSpaceDE/>
        <w:autoSpaceDN/>
        <w:bidi w:val="0"/>
        <w:adjustRightInd w:val="0"/>
        <w:snapToGrid w:val="0"/>
        <w:spacing w:line="520" w:lineRule="exact"/>
        <w:ind w:firstLine="640" w:firstLineChars="200"/>
        <w:jc w:val="both"/>
        <w:textAlignment w:val="auto"/>
        <w:rPr>
          <w:rFonts w:hint="eastAsia" w:ascii="楷体_GB2312" w:hAnsi="楷体_GB2312" w:eastAsia="楷体_GB2312" w:cs="楷体_GB2312"/>
          <w:bCs/>
          <w:sz w:val="32"/>
          <w:szCs w:val="32"/>
        </w:rPr>
      </w:pPr>
      <w:r>
        <w:rPr>
          <w:rFonts w:hint="eastAsia" w:ascii="仿宋" w:hAnsi="仿宋" w:eastAsia="仿宋" w:cs="仿宋"/>
          <w:sz w:val="32"/>
          <w:szCs w:val="32"/>
          <w:lang w:val="en-US" w:eastAsia="zh-CN"/>
        </w:rPr>
        <w:t>粗石江镇中心小学本部成立于1942年，旧址在粗石江镇下街张公庙内，1953年升格为完全小学，1982年更名为粗石江镇中心小学，于1988年9月迁入现址，服务于10多个行政村，占地面积约50598平方米，建筑面积11680平方米。学校秉承“以人为本，以德为先，知书达理，求实创新，全面发展，健康文明成长”的办学育人新理念，教育引导学生学会做人，学会求知、学会健体、学会审美、学会劳动。</w:t>
      </w:r>
    </w:p>
    <w:p>
      <w:pPr>
        <w:numPr>
          <w:ilvl w:val="0"/>
          <w:numId w:val="5"/>
        </w:num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项目基本情况</w:t>
      </w:r>
    </w:p>
    <w:p>
      <w:pPr>
        <w:numPr>
          <w:ilvl w:val="0"/>
          <w:numId w:val="0"/>
        </w:numPr>
        <w:spacing w:line="560" w:lineRule="exact"/>
        <w:rPr>
          <w:rFonts w:hint="default"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 xml:space="preserve">      根据县委、县政府安排。2023年5月22日县政府常务会研究，决定在全县中小学校实施分布式智慧图书馆建设。</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二、项目资金使用及管理情况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1.项目资金情况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项目资金45.8万元</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2.执行情况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2023年度,江永县</w:t>
      </w:r>
      <w:r>
        <w:rPr>
          <w:rFonts w:hint="eastAsia" w:ascii="仿宋_GB2312" w:hAnsi="仿宋_GB2312" w:eastAsia="仿宋_GB2312" w:cs="仿宋_GB2312"/>
          <w:sz w:val="32"/>
          <w:szCs w:val="32"/>
          <w:lang w:val="en-US" w:eastAsia="zh-CN"/>
        </w:rPr>
        <w:t>财政</w:t>
      </w:r>
      <w:r>
        <w:rPr>
          <w:rFonts w:hint="eastAsia" w:ascii="仿宋_GB2312" w:hAnsi="仿宋_GB2312" w:eastAsia="仿宋_GB2312" w:cs="仿宋_GB2312"/>
          <w:sz w:val="32"/>
          <w:szCs w:val="32"/>
        </w:rPr>
        <w:t>安排资金</w:t>
      </w:r>
      <w:r>
        <w:rPr>
          <w:rFonts w:hint="eastAsia" w:ascii="仿宋_GB2312" w:hAnsi="仿宋_GB2312" w:eastAsia="仿宋_GB2312" w:cs="仿宋_GB2312"/>
          <w:sz w:val="32"/>
          <w:szCs w:val="32"/>
          <w:lang w:val="en-US" w:eastAsia="zh-CN"/>
        </w:rPr>
        <w:t>45.8</w:t>
      </w:r>
      <w:r>
        <w:rPr>
          <w:rFonts w:hint="eastAsia" w:ascii="仿宋_GB2312" w:hAnsi="仿宋_GB2312" w:eastAsia="仿宋_GB2312" w:cs="仿宋_GB2312"/>
          <w:sz w:val="32"/>
          <w:szCs w:val="32"/>
        </w:rPr>
        <w:t>万元，用于</w:t>
      </w:r>
      <w:r>
        <w:rPr>
          <w:rFonts w:hint="eastAsia" w:ascii="楷体_GB2312" w:hAnsi="楷体_GB2312" w:eastAsia="楷体_GB2312" w:cs="楷体_GB2312"/>
          <w:bCs/>
          <w:sz w:val="32"/>
          <w:szCs w:val="32"/>
          <w:lang w:val="en-US" w:eastAsia="zh-CN"/>
        </w:rPr>
        <w:t>分布式智慧图书馆建设</w:t>
      </w:r>
      <w:r>
        <w:rPr>
          <w:rFonts w:hint="eastAsia" w:ascii="仿宋_GB2312" w:hAnsi="仿宋_GB2312" w:eastAsia="仿宋_GB2312" w:cs="仿宋_GB2312"/>
          <w:sz w:val="32"/>
          <w:szCs w:val="32"/>
        </w:rPr>
        <w:t>支出。</w:t>
      </w:r>
    </w:p>
    <w:p>
      <w:pPr>
        <w:numPr>
          <w:ilvl w:val="0"/>
          <w:numId w:val="6"/>
        </w:num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项目组织实施情况</w:t>
      </w:r>
    </w:p>
    <w:p>
      <w:pPr>
        <w:numPr>
          <w:ilvl w:val="0"/>
          <w:numId w:val="0"/>
        </w:num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15日进行验收，验收合格，主要内容：本部智能图书柜10台，系统4套，多媒体一体机1套，图书1020册，借阅卡1550张。城下完小智能图书柜4台，系统4套，图书408册，借阅卡350张。黄金山完小智能图书柜3台，系统3套，图书306册，借阅卡200张。</w:t>
      </w:r>
    </w:p>
    <w:p>
      <w:pPr>
        <w:numPr>
          <w:ilvl w:val="0"/>
          <w:numId w:val="0"/>
        </w:numPr>
        <w:spacing w:line="560" w:lineRule="exact"/>
        <w:rPr>
          <w:rFonts w:hint="default" w:ascii="黑体" w:hAnsi="黑体" w:eastAsia="黑体" w:cs="黑体"/>
          <w:bCs/>
          <w:sz w:val="32"/>
          <w:szCs w:val="32"/>
          <w:lang w:val="en-US" w:eastAsia="zh-CN"/>
        </w:rPr>
      </w:pP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四、项目绩效情况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1.项目经济性分析。</w:t>
      </w:r>
      <w:r>
        <w:rPr>
          <w:rFonts w:hint="eastAsia" w:ascii="仿宋_GB2312" w:hAnsi="仿宋_GB2312" w:eastAsia="仿宋_GB2312" w:cs="仿宋_GB2312"/>
          <w:sz w:val="32"/>
          <w:szCs w:val="32"/>
        </w:rPr>
        <w:t>江永县</w:t>
      </w:r>
      <w:r>
        <w:rPr>
          <w:rFonts w:hint="eastAsia" w:ascii="仿宋_GB2312" w:hAnsi="仿宋_GB2312" w:eastAsia="仿宋_GB2312" w:cs="仿宋_GB2312"/>
          <w:sz w:val="32"/>
          <w:szCs w:val="32"/>
          <w:lang w:val="en-US" w:eastAsia="zh-CN"/>
        </w:rPr>
        <w:t>财政</w:t>
      </w:r>
      <w:r>
        <w:rPr>
          <w:rFonts w:hint="eastAsia" w:ascii="仿宋_GB2312" w:hAnsi="仿宋_GB2312" w:eastAsia="仿宋_GB2312" w:cs="仿宋_GB2312"/>
          <w:sz w:val="32"/>
          <w:szCs w:val="32"/>
        </w:rPr>
        <w:t>安排资金</w:t>
      </w:r>
      <w:r>
        <w:rPr>
          <w:rFonts w:hint="eastAsia" w:ascii="仿宋_GB2312" w:hAnsi="仿宋_GB2312" w:eastAsia="仿宋_GB2312" w:cs="仿宋_GB2312"/>
          <w:sz w:val="32"/>
          <w:szCs w:val="32"/>
          <w:lang w:val="en-US" w:eastAsia="zh-CN"/>
        </w:rPr>
        <w:t>45.8</w:t>
      </w:r>
      <w:r>
        <w:rPr>
          <w:rFonts w:hint="eastAsia" w:ascii="仿宋_GB2312" w:hAnsi="仿宋_GB2312" w:eastAsia="仿宋_GB2312" w:cs="仿宋_GB2312"/>
          <w:sz w:val="32"/>
          <w:szCs w:val="32"/>
        </w:rPr>
        <w:t>万元</w:t>
      </w:r>
      <w:r>
        <w:rPr>
          <w:rFonts w:hint="eastAsia" w:ascii="仿宋_GB2312" w:hAnsi="仿宋_GB2312" w:eastAsia="仿宋_GB2312" w:cs="仿宋_GB2312"/>
          <w:bCs/>
          <w:sz w:val="32"/>
          <w:szCs w:val="32"/>
        </w:rPr>
        <w:t>，本着“少花钱、多办事、办好事”的原则，项目总支出</w:t>
      </w:r>
      <w:r>
        <w:rPr>
          <w:rFonts w:hint="eastAsia" w:ascii="仿宋_GB2312" w:hAnsi="仿宋_GB2312" w:eastAsia="仿宋_GB2312" w:cs="仿宋_GB2312"/>
          <w:sz w:val="32"/>
          <w:szCs w:val="32"/>
          <w:lang w:val="en-US" w:eastAsia="zh-CN"/>
        </w:rPr>
        <w:t>45.8</w:t>
      </w:r>
      <w:r>
        <w:rPr>
          <w:rFonts w:hint="eastAsia" w:ascii="仿宋_GB2312" w:hAnsi="仿宋_GB2312" w:eastAsia="仿宋_GB2312" w:cs="仿宋_GB2312"/>
          <w:bCs/>
          <w:sz w:val="32"/>
          <w:szCs w:val="32"/>
        </w:rPr>
        <w:t>万元，资金收支平衡。</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2.项目的效率性分析。</w:t>
      </w:r>
      <w:r>
        <w:rPr>
          <w:rFonts w:hint="eastAsia" w:ascii="仿宋_GB2312" w:hAnsi="仿宋_GB2312" w:eastAsia="仿宋_GB2312" w:cs="仿宋_GB2312"/>
          <w:bCs/>
          <w:sz w:val="32"/>
          <w:szCs w:val="32"/>
          <w:lang w:val="en-US" w:eastAsia="zh-CN"/>
        </w:rPr>
        <w:t>及时安装、验收，</w:t>
      </w:r>
      <w:r>
        <w:rPr>
          <w:rFonts w:hint="eastAsia" w:ascii="仿宋_GB2312" w:hAnsi="仿宋_GB2312" w:eastAsia="仿宋_GB2312" w:cs="仿宋_GB2312"/>
          <w:bCs/>
          <w:sz w:val="32"/>
          <w:szCs w:val="32"/>
        </w:rPr>
        <w:t>项目的实施完成率100%。</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3.项目的效益性分析。年度项目完工率100%，资金预算完成率100%。</w:t>
      </w:r>
      <w:r>
        <w:rPr>
          <w:rFonts w:hint="eastAsia" w:ascii="仿宋_GB2312" w:hAnsi="仿宋_GB2312" w:eastAsia="仿宋_GB2312" w:cs="仿宋_GB2312"/>
          <w:sz w:val="32"/>
          <w:szCs w:val="32"/>
        </w:rPr>
        <w:t>有力地促进了</w:t>
      </w:r>
      <w:r>
        <w:rPr>
          <w:rFonts w:hint="eastAsia" w:ascii="仿宋_GB2312" w:hAnsi="仿宋_GB2312" w:eastAsia="仿宋_GB2312" w:cs="仿宋_GB2312"/>
          <w:sz w:val="32"/>
          <w:szCs w:val="32"/>
          <w:lang w:val="en-US" w:eastAsia="zh-CN"/>
        </w:rPr>
        <w:t>学生阅读</w:t>
      </w:r>
      <w:r>
        <w:rPr>
          <w:rFonts w:hint="eastAsia" w:ascii="仿宋_GB2312" w:hAnsi="仿宋_GB2312" w:eastAsia="仿宋_GB2312" w:cs="仿宋_GB2312"/>
          <w:sz w:val="32"/>
          <w:szCs w:val="32"/>
        </w:rPr>
        <w:t>。</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五、其他需要说明的问题</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（一）后续工作计划</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加强</w:t>
      </w:r>
      <w:r>
        <w:rPr>
          <w:rFonts w:hint="eastAsia" w:ascii="仿宋_GB2312" w:hAnsi="仿宋_GB2312" w:eastAsia="仿宋_GB2312" w:cs="仿宋_GB2312"/>
          <w:bCs/>
          <w:sz w:val="32"/>
          <w:szCs w:val="32"/>
          <w:lang w:val="en-US" w:eastAsia="zh-CN"/>
        </w:rPr>
        <w:t>智慧图书</w:t>
      </w:r>
      <w:r>
        <w:rPr>
          <w:rFonts w:hint="eastAsia" w:ascii="仿宋_GB2312" w:hAnsi="仿宋_GB2312" w:eastAsia="仿宋_GB2312" w:cs="仿宋_GB2312"/>
          <w:bCs/>
          <w:sz w:val="32"/>
          <w:szCs w:val="32"/>
        </w:rPr>
        <w:t>的日常管护工作。</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（二）主要经验及做法、存在的问题和建议</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1.主要经验及做法</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高位推动，强化组织领导，强化宣传，营造浓厚氛围，</w:t>
      </w:r>
      <w:r>
        <w:rPr>
          <w:rFonts w:hint="eastAsia" w:ascii="仿宋_GB2312" w:hAnsi="仿宋_GB2312" w:eastAsia="仿宋_GB2312" w:cs="仿宋_GB2312"/>
          <w:sz w:val="32"/>
          <w:szCs w:val="32"/>
        </w:rPr>
        <w:t>严格管护，确保建设成效</w:t>
      </w:r>
      <w:r>
        <w:rPr>
          <w:rFonts w:hint="eastAsia" w:ascii="仿宋_GB2312" w:hAnsi="仿宋_GB2312" w:eastAsia="仿宋_GB2312" w:cs="仿宋_GB2312"/>
          <w:bCs/>
          <w:sz w:val="32"/>
          <w:szCs w:val="32"/>
        </w:rPr>
        <w:t>。</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2.存在的问题。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无</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3.建议</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color w:val="000000"/>
          <w:sz w:val="32"/>
          <w:szCs w:val="32"/>
          <w:lang w:val="en-US" w:eastAsia="zh-CN"/>
        </w:rPr>
        <w:t>无</w:t>
      </w:r>
    </w:p>
    <w:p>
      <w:pPr>
        <w:spacing w:line="560" w:lineRule="exact"/>
        <w:jc w:val="righ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江永县</w:t>
      </w:r>
      <w:r>
        <w:rPr>
          <w:rFonts w:hint="eastAsia" w:ascii="仿宋_GB2312" w:hAnsi="仿宋_GB2312" w:eastAsia="仿宋_GB2312" w:cs="仿宋_GB2312"/>
          <w:bCs/>
          <w:sz w:val="32"/>
          <w:szCs w:val="32"/>
          <w:lang w:val="en-US" w:eastAsia="zh-CN"/>
        </w:rPr>
        <w:t>粗石江镇中小学</w:t>
      </w:r>
    </w:p>
    <w:p>
      <w:pPr>
        <w:spacing w:line="560" w:lineRule="exact"/>
        <w:jc w:val="righ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2024年</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月2</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日</w:t>
      </w:r>
    </w:p>
    <w:p>
      <w:pPr>
        <w:widowControl/>
        <w:spacing w:line="560" w:lineRule="exact"/>
        <w:jc w:val="center"/>
        <w:rPr>
          <w:rFonts w:eastAsia="方正小标宋_GBK"/>
          <w:color w:val="000000"/>
          <w:kern w:val="0"/>
          <w:sz w:val="44"/>
          <w:szCs w:val="44"/>
        </w:rPr>
      </w:pPr>
      <w:r>
        <w:rPr>
          <w:rFonts w:eastAsia="方正小标宋_GBK"/>
          <w:color w:val="000000"/>
          <w:kern w:val="0"/>
          <w:sz w:val="44"/>
          <w:szCs w:val="44"/>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3"/>
        <w:tblW w:w="9315"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9"/>
        <w:gridCol w:w="1030"/>
        <w:gridCol w:w="979"/>
        <w:gridCol w:w="1276"/>
        <w:gridCol w:w="1181"/>
        <w:gridCol w:w="1181"/>
        <w:gridCol w:w="523"/>
        <w:gridCol w:w="1029"/>
        <w:gridCol w:w="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85" w:hRule="atLeast"/>
        </w:trPr>
        <w:tc>
          <w:tcPr>
            <w:tcW w:w="111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b/>
                <w:bCs/>
                <w:i w:val="0"/>
                <w:iCs w:val="0"/>
                <w:color w:val="000000"/>
                <w:sz w:val="20"/>
                <w:szCs w:val="20"/>
                <w:u w:val="none"/>
                <w:lang w:val="en-US" w:eastAsia="zh-CN"/>
              </w:rPr>
            </w:pPr>
            <w:r>
              <w:rPr>
                <w:rFonts w:hint="eastAsia" w:ascii="微软雅黑" w:hAnsi="微软雅黑" w:eastAsia="微软雅黑" w:cs="微软雅黑"/>
                <w:b/>
                <w:bCs/>
                <w:i w:val="0"/>
                <w:iCs w:val="0"/>
                <w:color w:val="000000"/>
                <w:sz w:val="20"/>
                <w:szCs w:val="20"/>
                <w:u w:val="none"/>
                <w:lang w:val="en-US" w:eastAsia="zh-CN"/>
              </w:rPr>
              <w:t>项目名称</w:t>
            </w:r>
          </w:p>
        </w:tc>
        <w:tc>
          <w:tcPr>
            <w:tcW w:w="8196" w:type="dxa"/>
            <w:gridSpan w:val="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分布式智慧图书馆采购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85" w:hRule="atLeast"/>
        </w:trPr>
        <w:tc>
          <w:tcPr>
            <w:tcW w:w="111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8196" w:type="dxa"/>
            <w:gridSpan w:val="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5" w:hRule="atLeast"/>
        </w:trPr>
        <w:tc>
          <w:tcPr>
            <w:tcW w:w="111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4466" w:type="dxa"/>
            <w:gridSpan w:val="4"/>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江永县教育局</w:t>
            </w:r>
          </w:p>
        </w:tc>
        <w:tc>
          <w:tcPr>
            <w:tcW w:w="118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2549" w:type="dxa"/>
            <w:gridSpan w:val="3"/>
            <w:tcBorders>
              <w:top w:val="single" w:color="000000" w:sz="8" w:space="0"/>
              <w:left w:val="nil"/>
              <w:bottom w:val="single" w:color="000000" w:sz="8" w:space="0"/>
              <w:right w:val="single" w:color="000000" w:sz="8" w:space="0"/>
            </w:tcBorders>
            <w:shd w:val="clear" w:color="auto" w:fill="auto"/>
            <w:vAlign w:val="center"/>
          </w:tcPr>
          <w:p>
            <w:pPr>
              <w:jc w:val="center"/>
              <w:rPr>
                <w:rFonts w:hint="default"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江永县粗石江镇中心小学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85" w:hRule="atLeast"/>
        </w:trPr>
        <w:tc>
          <w:tcPr>
            <w:tcW w:w="1119"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2009"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hint="eastAsia" w:ascii="微软雅黑" w:hAnsi="微软雅黑" w:eastAsia="微软雅黑" w:cs="微软雅黑"/>
                <w:b/>
                <w:bCs/>
                <w:i w:val="0"/>
                <w:iCs w:val="0"/>
                <w:color w:val="000000"/>
                <w:sz w:val="22"/>
                <w:szCs w:val="22"/>
                <w:u w:val="none"/>
              </w:rPr>
            </w:pPr>
            <w:r>
              <w:rPr>
                <w:rFonts w:eastAsia="仿宋_GB2312"/>
                <w:color w:val="000000"/>
                <w:kern w:val="0"/>
                <w:szCs w:val="21"/>
              </w:rPr>
              <w:t>预算数</w:t>
            </w:r>
          </w:p>
        </w:tc>
        <w:tc>
          <w:tcPr>
            <w:tcW w:w="1276" w:type="dxa"/>
            <w:vMerge w:val="restart"/>
            <w:tcBorders>
              <w:top w:val="nil"/>
              <w:left w:val="single" w:color="000000" w:sz="8" w:space="0"/>
              <w:bottom w:val="single" w:color="000000" w:sz="8" w:space="0"/>
              <w:right w:val="nil"/>
            </w:tcBorders>
            <w:shd w:val="clear" w:color="auto" w:fill="auto"/>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hint="eastAsia" w:ascii="微软雅黑" w:hAnsi="微软雅黑" w:eastAsia="微软雅黑" w:cs="微软雅黑"/>
                <w:b/>
                <w:bCs/>
                <w:i w:val="0"/>
                <w:iCs w:val="0"/>
                <w:color w:val="000000"/>
                <w:sz w:val="22"/>
                <w:szCs w:val="22"/>
                <w:u w:val="none"/>
              </w:rPr>
            </w:pPr>
            <w:r>
              <w:rPr>
                <w:rFonts w:eastAsia="仿宋_GB2312"/>
                <w:color w:val="000000"/>
                <w:kern w:val="0"/>
                <w:szCs w:val="21"/>
              </w:rPr>
              <w:t>预算数</w:t>
            </w:r>
          </w:p>
        </w:tc>
        <w:tc>
          <w:tcPr>
            <w:tcW w:w="1181" w:type="dxa"/>
            <w:vMerge w:val="restart"/>
            <w:tcBorders>
              <w:top w:val="nil"/>
              <w:left w:val="single" w:color="000000" w:sz="8" w:space="0"/>
              <w:bottom w:val="single" w:color="000000" w:sz="8" w:space="0"/>
              <w:right w:val="nil"/>
            </w:tcBorders>
            <w:shd w:val="clear" w:color="auto" w:fill="auto"/>
            <w:vAlign w:val="center"/>
          </w:tcPr>
          <w:p>
            <w:pPr>
              <w:jc w:val="center"/>
              <w:rPr>
                <w:rFonts w:hint="eastAsia" w:eastAsia="仿宋_GB2312"/>
                <w:szCs w:val="21"/>
              </w:rPr>
            </w:pPr>
            <w:r>
              <w:rPr>
                <w:rFonts w:eastAsia="仿宋_GB2312"/>
                <w:szCs w:val="21"/>
              </w:rPr>
              <w:t>全年</w:t>
            </w:r>
          </w:p>
          <w:p>
            <w:pPr>
              <w:jc w:val="center"/>
              <w:rPr>
                <w:rFonts w:hint="eastAsia" w:ascii="微软雅黑" w:hAnsi="微软雅黑" w:eastAsia="微软雅黑" w:cs="微软雅黑"/>
                <w:b/>
                <w:bCs/>
                <w:i w:val="0"/>
                <w:iCs w:val="0"/>
                <w:color w:val="000000"/>
                <w:sz w:val="22"/>
                <w:szCs w:val="22"/>
                <w:u w:val="none"/>
              </w:rPr>
            </w:pPr>
            <w:r>
              <w:rPr>
                <w:rFonts w:eastAsia="仿宋_GB2312"/>
                <w:szCs w:val="21"/>
              </w:rPr>
              <w:t>执行数</w:t>
            </w:r>
          </w:p>
        </w:tc>
        <w:tc>
          <w:tcPr>
            <w:tcW w:w="1181" w:type="dxa"/>
            <w:vMerge w:val="restart"/>
            <w:tcBorders>
              <w:top w:val="single" w:color="000000" w:sz="8" w:space="0"/>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r>
              <w:rPr>
                <w:rFonts w:eastAsia="仿宋_GB2312"/>
                <w:szCs w:val="21"/>
              </w:rPr>
              <w:t>分值</w:t>
            </w:r>
          </w:p>
        </w:tc>
        <w:tc>
          <w:tcPr>
            <w:tcW w:w="52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r>
              <w:rPr>
                <w:rFonts w:eastAsia="仿宋_GB2312"/>
                <w:szCs w:val="21"/>
              </w:rPr>
              <w:t>执行率</w:t>
            </w:r>
          </w:p>
        </w:tc>
        <w:tc>
          <w:tcPr>
            <w:tcW w:w="102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r>
              <w:rPr>
                <w:rFonts w:eastAsia="仿宋_GB2312"/>
                <w:szCs w:val="21"/>
              </w:rPr>
              <w:t>得分</w:t>
            </w:r>
          </w:p>
        </w:tc>
        <w:tc>
          <w:tcPr>
            <w:tcW w:w="9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hint="eastAsia" w:ascii="微软雅黑" w:hAnsi="微软雅黑" w:eastAsia="微软雅黑" w:cs="微软雅黑"/>
                <w:b/>
                <w:bCs/>
                <w:i w:val="0"/>
                <w:iCs w:val="0"/>
                <w:color w:val="000000"/>
                <w:sz w:val="22"/>
                <w:szCs w:val="22"/>
                <w:u w:val="none"/>
              </w:rPr>
            </w:pPr>
            <w:r>
              <w:rPr>
                <w:rFonts w:eastAsia="仿宋_GB2312"/>
                <w:color w:val="000000"/>
                <w:kern w:val="0"/>
                <w:szCs w:val="21"/>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8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0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76"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single" w:color="000000" w:sz="8" w:space="0"/>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52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0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76"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single" w:color="000000" w:sz="8" w:space="0"/>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52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09" w:type="dxa"/>
            <w:gridSpan w:val="2"/>
            <w:tcBorders>
              <w:top w:val="nil"/>
              <w:left w:val="single" w:color="000000" w:sz="8" w:space="0"/>
              <w:bottom w:val="single" w:color="000000" w:sz="8" w:space="0"/>
              <w:right w:val="nil"/>
            </w:tcBorders>
            <w:shd w:val="clear" w:color="auto" w:fill="auto"/>
            <w:vAlign w:val="center"/>
          </w:tcPr>
          <w:p>
            <w:pPr>
              <w:widowControl/>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年度资金总额　</w:t>
            </w:r>
          </w:p>
        </w:tc>
        <w:tc>
          <w:tcPr>
            <w:tcW w:w="1276"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09" w:type="dxa"/>
            <w:gridSpan w:val="2"/>
            <w:tcBorders>
              <w:top w:val="nil"/>
              <w:left w:val="single" w:color="000000" w:sz="8" w:space="0"/>
              <w:bottom w:val="single" w:color="000000" w:sz="8" w:space="0"/>
              <w:right w:val="nil"/>
            </w:tcBorders>
            <w:shd w:val="clear" w:color="auto" w:fill="auto"/>
            <w:vAlign w:val="center"/>
          </w:tcPr>
          <w:p>
            <w:pPr>
              <w:widowControl/>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其中：当年财政拨款　</w:t>
            </w:r>
          </w:p>
        </w:tc>
        <w:tc>
          <w:tcPr>
            <w:tcW w:w="1276"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99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09" w:type="dxa"/>
            <w:gridSpan w:val="2"/>
            <w:tcBorders>
              <w:top w:val="nil"/>
              <w:left w:val="single" w:color="000000" w:sz="8" w:space="0"/>
              <w:bottom w:val="single" w:color="000000" w:sz="8" w:space="0"/>
              <w:right w:val="nil"/>
            </w:tcBorders>
            <w:shd w:val="clear" w:color="auto" w:fill="auto"/>
            <w:vAlign w:val="center"/>
          </w:tcPr>
          <w:p>
            <w:pPr>
              <w:widowControl/>
              <w:ind w:firstLine="630" w:firstLineChars="300"/>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上年结转资金　</w:t>
            </w:r>
          </w:p>
        </w:tc>
        <w:tc>
          <w:tcPr>
            <w:tcW w:w="1276"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微软雅黑" w:hAnsi="微软雅黑" w:eastAsia="微软雅黑" w:cs="微软雅黑"/>
                <w:i w:val="0"/>
                <w:iCs w:val="0"/>
                <w:color w:val="000000"/>
                <w:sz w:val="20"/>
                <w:szCs w:val="20"/>
                <w:u w:val="none"/>
                <w:lang w:val="en-US"/>
              </w:rPr>
            </w:pPr>
          </w:p>
        </w:tc>
        <w:tc>
          <w:tcPr>
            <w:tcW w:w="99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09" w:type="dxa"/>
            <w:gridSpan w:val="2"/>
            <w:tcBorders>
              <w:top w:val="nil"/>
              <w:left w:val="single" w:color="000000" w:sz="8" w:space="0"/>
              <w:bottom w:val="single" w:color="000000" w:sz="8" w:space="0"/>
              <w:right w:val="nil"/>
            </w:tcBorders>
            <w:shd w:val="clear" w:color="auto" w:fill="auto"/>
            <w:vAlign w:val="center"/>
          </w:tcPr>
          <w:p>
            <w:pPr>
              <w:widowControl/>
              <w:ind w:firstLine="630" w:firstLineChars="300"/>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其他资金</w:t>
            </w:r>
          </w:p>
        </w:tc>
        <w:tc>
          <w:tcPr>
            <w:tcW w:w="1276"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84" w:hRule="atLeast"/>
        </w:trPr>
        <w:tc>
          <w:tcPr>
            <w:tcW w:w="1119"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微软雅黑" w:hAnsi="微软雅黑" w:eastAsia="微软雅黑" w:cs="微软雅黑"/>
                <w:b/>
                <w:bCs/>
                <w:i w:val="0"/>
                <w:iCs w:val="0"/>
                <w:color w:val="000000"/>
                <w:sz w:val="20"/>
                <w:szCs w:val="20"/>
                <w:u w:val="none"/>
              </w:rPr>
            </w:pPr>
            <w:r>
              <w:rPr>
                <w:rFonts w:eastAsia="仿宋_GB2312"/>
                <w:color w:val="000000"/>
                <w:kern w:val="0"/>
                <w:szCs w:val="21"/>
              </w:rPr>
              <w:t>年度总体目标</w:t>
            </w:r>
          </w:p>
        </w:tc>
        <w:tc>
          <w:tcPr>
            <w:tcW w:w="4466" w:type="dxa"/>
            <w:gridSpan w:val="4"/>
            <w:tcBorders>
              <w:top w:val="nil"/>
              <w:left w:val="single" w:color="000000" w:sz="8" w:space="0"/>
              <w:bottom w:val="single" w:color="000000" w:sz="8" w:space="0"/>
              <w:right w:val="nil"/>
            </w:tcBorders>
            <w:shd w:val="clear" w:color="auto" w:fill="auto"/>
            <w:vAlign w:val="center"/>
          </w:tcPr>
          <w:p>
            <w:pPr>
              <w:widowControl/>
              <w:jc w:val="center"/>
              <w:rPr>
                <w:rFonts w:hint="eastAsia" w:ascii="微软雅黑" w:hAnsi="微软雅黑" w:eastAsia="微软雅黑" w:cs="微软雅黑"/>
                <w:i w:val="0"/>
                <w:iCs w:val="0"/>
                <w:color w:val="000000"/>
                <w:sz w:val="20"/>
                <w:szCs w:val="20"/>
                <w:u w:val="none"/>
              </w:rPr>
            </w:pPr>
            <w:r>
              <w:rPr>
                <w:rFonts w:eastAsia="仿宋_GB2312"/>
                <w:color w:val="000000"/>
                <w:kern w:val="0"/>
                <w:szCs w:val="21"/>
              </w:rPr>
              <w:t>预期目标</w:t>
            </w:r>
          </w:p>
        </w:tc>
        <w:tc>
          <w:tcPr>
            <w:tcW w:w="3730" w:type="dxa"/>
            <w:gridSpan w:val="4"/>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微软雅黑" w:hAnsi="微软雅黑" w:eastAsia="微软雅黑" w:cs="微软雅黑"/>
                <w:i w:val="0"/>
                <w:iCs w:val="0"/>
                <w:color w:val="000000"/>
                <w:sz w:val="20"/>
                <w:szCs w:val="20"/>
                <w:u w:val="none"/>
              </w:rPr>
            </w:pPr>
            <w:r>
              <w:rPr>
                <w:rFonts w:eastAsia="仿宋_GB2312"/>
                <w:color w:val="000000"/>
                <w:kern w:val="0"/>
                <w:szCs w:val="21"/>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微软雅黑" w:hAnsi="微软雅黑" w:eastAsia="微软雅黑" w:cs="微软雅黑"/>
                <w:b/>
                <w:bCs/>
                <w:i w:val="0"/>
                <w:iCs w:val="0"/>
                <w:color w:val="000000"/>
                <w:sz w:val="20"/>
                <w:szCs w:val="20"/>
                <w:u w:val="none"/>
              </w:rPr>
            </w:pPr>
          </w:p>
        </w:tc>
        <w:tc>
          <w:tcPr>
            <w:tcW w:w="4466" w:type="dxa"/>
            <w:gridSpan w:val="4"/>
            <w:vMerge w:val="restart"/>
            <w:tcBorders>
              <w:top w:val="nil"/>
              <w:left w:val="single" w:color="000000" w:sz="8" w:space="0"/>
              <w:bottom w:val="single" w:color="000000" w:sz="8" w:space="0"/>
              <w:right w:val="nil"/>
            </w:tcBorders>
            <w:shd w:val="clear" w:color="auto" w:fill="auto"/>
            <w:vAlign w:val="center"/>
          </w:tcPr>
          <w:p>
            <w:pPr>
              <w:widowControl/>
              <w:rPr>
                <w:rFonts w:hint="eastAsia" w:ascii="微软雅黑" w:hAnsi="微软雅黑" w:eastAsia="微软雅黑" w:cs="微软雅黑"/>
                <w:i w:val="0"/>
                <w:iCs w:val="0"/>
                <w:color w:val="000000"/>
                <w:sz w:val="20"/>
                <w:szCs w:val="20"/>
                <w:u w:val="none"/>
              </w:rPr>
            </w:pPr>
            <w:r>
              <w:rPr>
                <w:rFonts w:hint="eastAsia" w:ascii="宋体" w:hAnsi="宋体"/>
                <w:sz w:val="18"/>
                <w:szCs w:val="18"/>
              </w:rPr>
              <w:t>完成分布式智慧图书馆采购及安装</w:t>
            </w:r>
          </w:p>
        </w:tc>
        <w:tc>
          <w:tcPr>
            <w:tcW w:w="3730" w:type="dxa"/>
            <w:gridSpan w:val="4"/>
            <w:vMerge w:val="restar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　</w:t>
            </w:r>
            <w:r>
              <w:rPr>
                <w:rFonts w:hint="eastAsia" w:eastAsia="仿宋_GB2312"/>
                <w:color w:val="000000"/>
                <w:kern w:val="0"/>
                <w:szCs w:val="21"/>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4466" w:type="dxa"/>
            <w:gridSpan w:val="4"/>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3730" w:type="dxa"/>
            <w:gridSpan w:val="4"/>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4466" w:type="dxa"/>
            <w:gridSpan w:val="4"/>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3730" w:type="dxa"/>
            <w:gridSpan w:val="4"/>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85" w:hRule="atLeast"/>
        </w:trPr>
        <w:tc>
          <w:tcPr>
            <w:tcW w:w="1119"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03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一级指标</w:t>
            </w:r>
          </w:p>
        </w:tc>
        <w:tc>
          <w:tcPr>
            <w:tcW w:w="979"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二级指标</w:t>
            </w:r>
          </w:p>
        </w:tc>
        <w:tc>
          <w:tcPr>
            <w:tcW w:w="1276"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三级指标</w:t>
            </w:r>
          </w:p>
        </w:tc>
        <w:tc>
          <w:tcPr>
            <w:tcW w:w="1181" w:type="dxa"/>
            <w:vMerge w:val="restart"/>
            <w:tcBorders>
              <w:top w:val="nil"/>
              <w:left w:val="nil"/>
              <w:bottom w:val="single" w:color="000000" w:sz="8" w:space="0"/>
              <w:right w:val="nil"/>
            </w:tcBorders>
            <w:shd w:val="clear" w:color="auto" w:fill="auto"/>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指标值</w:t>
            </w:r>
          </w:p>
        </w:tc>
        <w:tc>
          <w:tcPr>
            <w:tcW w:w="1181" w:type="dxa"/>
            <w:vMerge w:val="restart"/>
            <w:tcBorders>
              <w:top w:val="nil"/>
              <w:left w:val="single" w:color="000000" w:sz="8" w:space="0"/>
              <w:bottom w:val="single" w:color="000000" w:sz="8" w:space="0"/>
              <w:right w:val="nil"/>
            </w:tcBorders>
            <w:shd w:val="clear" w:color="auto" w:fill="auto"/>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完成值</w:t>
            </w:r>
          </w:p>
        </w:tc>
        <w:tc>
          <w:tcPr>
            <w:tcW w:w="523"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分值</w:t>
            </w:r>
          </w:p>
        </w:tc>
        <w:tc>
          <w:tcPr>
            <w:tcW w:w="1029"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得分</w:t>
            </w:r>
          </w:p>
        </w:tc>
        <w:tc>
          <w:tcPr>
            <w:tcW w:w="99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8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76"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523"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9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76"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523"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9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exact"/>
              <w:jc w:val="center"/>
              <w:rPr>
                <w:rFonts w:hint="eastAsia" w:eastAsia="仿宋_GB2312"/>
                <w:color w:val="000000"/>
                <w:kern w:val="0"/>
                <w:szCs w:val="21"/>
              </w:rPr>
            </w:pPr>
            <w:r>
              <w:rPr>
                <w:rFonts w:hint="eastAsia" w:eastAsia="仿宋_GB2312"/>
                <w:color w:val="000000"/>
                <w:kern w:val="0"/>
                <w:szCs w:val="21"/>
                <w:lang w:val="en-US" w:eastAsia="zh-CN"/>
              </w:rPr>
              <w:t>产出指标</w:t>
            </w:r>
          </w:p>
        </w:tc>
        <w:tc>
          <w:tcPr>
            <w:tcW w:w="979"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购置设备数量</w:t>
            </w:r>
          </w:p>
        </w:tc>
        <w:tc>
          <w:tcPr>
            <w:tcW w:w="118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17台</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17台</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Calibri" w:hAnsi="Calibri" w:eastAsia="仿宋_GB2312" w:cs="Times New Roman"/>
                <w:color w:val="000000"/>
                <w:kern w:val="0"/>
                <w:sz w:val="21"/>
                <w:szCs w:val="21"/>
                <w:lang w:val="en-US" w:eastAsia="zh-CN" w:bidi="ar-SA"/>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7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购置图书数量</w:t>
            </w:r>
          </w:p>
        </w:tc>
        <w:tc>
          <w:tcPr>
            <w:tcW w:w="118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1734册</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1734册</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Calibri" w:hAnsi="Calibri" w:eastAsia="仿宋_GB2312" w:cs="Times New Roman"/>
                <w:color w:val="000000"/>
                <w:kern w:val="0"/>
                <w:sz w:val="21"/>
                <w:szCs w:val="21"/>
                <w:lang w:val="en-US" w:eastAsia="zh-CN" w:bidi="ar-SA"/>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7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政府采购率</w:t>
            </w:r>
          </w:p>
        </w:tc>
        <w:tc>
          <w:tcPr>
            <w:tcW w:w="118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Calibri" w:hAnsi="Calibri" w:eastAsia="仿宋_GB2312" w:cs="Times New Roman"/>
                <w:color w:val="000000"/>
                <w:kern w:val="0"/>
                <w:sz w:val="21"/>
                <w:szCs w:val="21"/>
                <w:lang w:val="en-US" w:eastAsia="zh-CN" w:bidi="ar-SA"/>
              </w:rPr>
            </w:pPr>
          </w:p>
        </w:tc>
        <w:tc>
          <w:tcPr>
            <w:tcW w:w="979"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设备质量合格率</w:t>
            </w:r>
          </w:p>
        </w:tc>
        <w:tc>
          <w:tcPr>
            <w:tcW w:w="118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Calibri" w:hAnsi="Calibri" w:eastAsia="仿宋_GB2312" w:cs="Times New Roman"/>
                <w:color w:val="000000"/>
                <w:kern w:val="0"/>
                <w:sz w:val="21"/>
                <w:szCs w:val="21"/>
                <w:lang w:val="en-US" w:eastAsia="zh-CN" w:bidi="ar-SA"/>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7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安装工程验收合格率</w:t>
            </w:r>
          </w:p>
        </w:tc>
        <w:tc>
          <w:tcPr>
            <w:tcW w:w="118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Calibri" w:hAnsi="Calibri" w:eastAsia="仿宋_GB2312" w:cs="Times New Roman"/>
                <w:color w:val="000000"/>
                <w:kern w:val="0"/>
                <w:sz w:val="21"/>
                <w:szCs w:val="21"/>
                <w:lang w:val="en-US" w:eastAsia="zh-CN" w:bidi="ar-SA"/>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7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设备故障率</w:t>
            </w:r>
          </w:p>
        </w:tc>
        <w:tc>
          <w:tcPr>
            <w:tcW w:w="118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exact"/>
              <w:jc w:val="center"/>
              <w:rPr>
                <w:rFonts w:hint="eastAsia" w:ascii="Calibri" w:hAnsi="Calibri" w:eastAsia="仿宋_GB2312" w:cs="Times New Roman"/>
                <w:color w:val="000000"/>
                <w:kern w:val="0"/>
                <w:sz w:val="21"/>
                <w:szCs w:val="21"/>
                <w:lang w:val="en-US" w:eastAsia="zh-CN" w:bidi="ar-SA"/>
              </w:rPr>
            </w:pPr>
            <w:r>
              <w:rPr>
                <w:rFonts w:hint="eastAsia" w:ascii="Calibri" w:hAnsi="Calibri" w:eastAsia="仿宋_GB2312" w:cs="Times New Roman"/>
                <w:color w:val="000000"/>
                <w:kern w:val="0"/>
                <w:sz w:val="21"/>
                <w:szCs w:val="21"/>
                <w:lang w:val="en-US" w:eastAsia="zh-CN" w:bidi="ar-SA"/>
              </w:rPr>
              <w:t>效益指标</w:t>
            </w:r>
          </w:p>
        </w:tc>
        <w:tc>
          <w:tcPr>
            <w:tcW w:w="97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设备利用率</w:t>
            </w:r>
          </w:p>
        </w:tc>
        <w:tc>
          <w:tcPr>
            <w:tcW w:w="118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Calibri" w:hAnsi="Calibri" w:eastAsia="仿宋_GB2312" w:cs="Times New Roman"/>
                <w:color w:val="000000"/>
                <w:kern w:val="0"/>
                <w:sz w:val="21"/>
                <w:szCs w:val="21"/>
                <w:lang w:val="en-US" w:eastAsia="zh-CN" w:bidi="ar-SA"/>
              </w:rPr>
            </w:pPr>
          </w:p>
        </w:tc>
        <w:tc>
          <w:tcPr>
            <w:tcW w:w="97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设备使用年限</w:t>
            </w:r>
          </w:p>
        </w:tc>
        <w:tc>
          <w:tcPr>
            <w:tcW w:w="118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≥15年</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≥15年</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30"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exact"/>
              <w:jc w:val="center"/>
              <w:rPr>
                <w:rFonts w:hint="eastAsia" w:ascii="Calibri" w:hAnsi="Calibri" w:eastAsia="仿宋_GB2312" w:cs="Times New Roman"/>
                <w:color w:val="000000"/>
                <w:kern w:val="0"/>
                <w:sz w:val="21"/>
                <w:szCs w:val="21"/>
                <w:lang w:val="en-US" w:eastAsia="zh-CN" w:bidi="ar-SA"/>
              </w:rPr>
            </w:pPr>
            <w:r>
              <w:rPr>
                <w:rFonts w:hint="eastAsia" w:ascii="Calibri" w:hAnsi="Calibri" w:eastAsia="仿宋_GB2312" w:cs="Times New Roman"/>
                <w:color w:val="000000"/>
                <w:kern w:val="0"/>
                <w:sz w:val="21"/>
                <w:szCs w:val="21"/>
                <w:lang w:val="en-US" w:eastAsia="zh-CN" w:bidi="ar-SA"/>
              </w:rPr>
              <w:t>满意度指标</w:t>
            </w:r>
          </w:p>
        </w:tc>
        <w:tc>
          <w:tcPr>
            <w:tcW w:w="97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使用人员满意度</w:t>
            </w:r>
          </w:p>
        </w:tc>
        <w:tc>
          <w:tcPr>
            <w:tcW w:w="118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5" w:hRule="atLeast"/>
        </w:trPr>
        <w:tc>
          <w:tcPr>
            <w:tcW w:w="6766" w:type="dxa"/>
            <w:gridSpan w:val="6"/>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52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90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90</w:t>
            </w:r>
          </w:p>
        </w:tc>
        <w:tc>
          <w:tcPr>
            <w:tcW w:w="997"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bl>
    <w:p>
      <w:pPr>
        <w:widowControl/>
        <w:ind w:left="93"/>
        <w:jc w:val="center"/>
        <w:rPr>
          <w:rFonts w:ascii="Times New Roman" w:eastAsia="方正小标宋_GBK"/>
          <w:kern w:val="0"/>
          <w:sz w:val="44"/>
          <w:szCs w:val="44"/>
        </w:rPr>
      </w:pPr>
      <w:r>
        <w:rPr>
          <w:rFonts w:hint="eastAsia" w:ascii="方正小标宋_GBK" w:hAnsi="方正小标宋_GBK" w:eastAsia="方正小标宋_GBK"/>
          <w:kern w:val="0"/>
          <w:sz w:val="44"/>
          <w:szCs w:val="44"/>
          <w:lang w:val="en-US" w:eastAsia="zh-CN"/>
        </w:rPr>
        <w:t>江永县粗石江镇中心小学</w:t>
      </w:r>
      <w:r>
        <w:rPr>
          <w:rFonts w:ascii="方正小标宋_GBK" w:hAnsi="方正小标宋_GBK" w:eastAsia="方正小标宋_GBK"/>
          <w:kern w:val="0"/>
          <w:sz w:val="44"/>
          <w:szCs w:val="44"/>
        </w:rPr>
        <w:t>财政专项</w:t>
      </w:r>
      <w:r>
        <w:rPr>
          <w:rFonts w:ascii="方正小标宋_GBK" w:hAnsi="方正小标宋_GBK"/>
          <w:kern w:val="0"/>
          <w:sz w:val="44"/>
          <w:szCs w:val="44"/>
        </w:rPr>
        <w:t>（项目）</w:t>
      </w:r>
      <w:r>
        <w:rPr>
          <w:rFonts w:ascii="方正小标宋_GBK" w:hAnsi="方正小标宋_GBK" w:eastAsia="方正小标宋_GBK"/>
          <w:kern w:val="0"/>
          <w:sz w:val="44"/>
          <w:szCs w:val="44"/>
        </w:rPr>
        <w:t>资金绩效评价表</w:t>
      </w:r>
    </w:p>
    <w:tbl>
      <w:tblPr>
        <w:tblStyle w:val="3"/>
        <w:tblW w:w="10608" w:type="dxa"/>
        <w:jc w:val="center"/>
        <w:tblLayout w:type="fixed"/>
        <w:tblCellMar>
          <w:top w:w="0" w:type="dxa"/>
          <w:left w:w="108" w:type="dxa"/>
          <w:bottom w:w="0" w:type="dxa"/>
          <w:right w:w="108" w:type="dxa"/>
        </w:tblCellMar>
      </w:tblPr>
      <w:tblGrid>
        <w:gridCol w:w="656"/>
        <w:gridCol w:w="710"/>
        <w:gridCol w:w="1275"/>
        <w:gridCol w:w="3080"/>
        <w:gridCol w:w="4502"/>
        <w:gridCol w:w="385"/>
      </w:tblGrid>
      <w:tr>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391" w:hRule="atLeast"/>
          <w:jc w:val="center"/>
        </w:trPr>
        <w:tc>
          <w:tcPr>
            <w:tcW w:w="656"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noWrap w:val="0"/>
            <w:vAlign w:val="center"/>
          </w:tcPr>
          <w:p>
            <w:pPr>
              <w:widowControl/>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94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82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③是否与项目年度任务教或计划数相对应；</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11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r>
              <w:rPr>
                <w:rFonts w:hint="eastAsia" w:ascii="宋体" w:hAnsi="宋体"/>
                <w:color w:val="000000"/>
                <w:kern w:val="0"/>
                <w:sz w:val="24"/>
              </w:rPr>
              <w:t>2</w:t>
            </w:r>
          </w:p>
        </w:tc>
      </w:tr>
      <w:tr>
        <w:tblPrEx>
          <w:tblCellMar>
            <w:top w:w="0" w:type="dxa"/>
            <w:left w:w="108" w:type="dxa"/>
            <w:bottom w:w="0" w:type="dxa"/>
            <w:right w:w="108" w:type="dxa"/>
          </w:tblCellMar>
        </w:tblPrEx>
        <w:trPr>
          <w:trHeight w:val="1091"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noWrap w:val="0"/>
            <w:vAlign w:val="center"/>
          </w:tcPr>
          <w:p>
            <w:pPr>
              <w:jc w:val="center"/>
              <w:rPr>
                <w:rFonts w:ascii="仿宋_GB2312" w:hAnsi="宋体"/>
                <w:color w:val="000000"/>
                <w:kern w:val="0"/>
                <w:sz w:val="20"/>
                <w:szCs w:val="20"/>
              </w:rPr>
            </w:pPr>
            <w:r>
              <w:rPr>
                <w:rFonts w:ascii="仿宋_GB2312" w:hAnsi="宋体"/>
                <w:color w:val="000000"/>
                <w:kern w:val="0"/>
                <w:sz w:val="20"/>
                <w:szCs w:val="20"/>
              </w:rPr>
              <w:t>过程</w:t>
            </w:r>
          </w:p>
          <w:p>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1103"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1194"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r>
              <w:rPr>
                <w:rFonts w:hint="eastAsia" w:ascii="宋体" w:hAnsi="宋体"/>
                <w:color w:val="000000"/>
                <w:kern w:val="0"/>
                <w:sz w:val="24"/>
              </w:rPr>
              <w:t>5</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④是否符合项目预算批复或合同规定的用途；</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1027"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1519"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完成及时率[ (计划完成时间-实际完成时间）/计划完成时间]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100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成本节约率＝(计划成本-实际成本)</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效果</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績</w:t>
            </w:r>
            <w:r>
              <w:rPr>
                <w:rFonts w:ascii="仿宋_GB2312" w:hAnsi="宋体"/>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noWrap w:val="0"/>
            <w:vAlign w:val="top"/>
          </w:tcPr>
          <w:p>
            <w:pPr>
              <w:widowControl/>
              <w:jc w:val="left"/>
              <w:rPr>
                <w:rFonts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rPr>
                <w:rFonts w:ascii="宋体" w:hAnsi="宋体"/>
                <w:color w:val="000000"/>
                <w:kern w:val="0"/>
                <w:sz w:val="24"/>
              </w:rPr>
            </w:pPr>
            <w:r>
              <w:rPr>
                <w:rFonts w:hint="eastAsia" w:ascii="宋体" w:hAnsi="宋体"/>
                <w:color w:val="000000"/>
                <w:kern w:val="0"/>
                <w:sz w:val="24"/>
              </w:rPr>
              <w:t>6</w:t>
            </w:r>
          </w:p>
        </w:tc>
      </w:tr>
      <w:tr>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社会公众或服务对象对项目实施效策的满意程度</w:t>
            </w: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社会公众或服务对象是指因该项目实施而受到影响的部门(单位)、群体或个人。一般采取社会调查的方式。</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98</w:t>
            </w:r>
          </w:p>
        </w:tc>
      </w:tr>
    </w:tbl>
    <w:p/>
    <w:p/>
    <w:p/>
    <w:p/>
    <w:p/>
    <w:p/>
    <w:p/>
    <w:p/>
    <w:p>
      <w:pPr>
        <w:widowControl/>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abstractNum w:abstractNumId="2">
    <w:nsid w:val="00003EE1"/>
    <w:multiLevelType w:val="singleLevel"/>
    <w:tmpl w:val="00003EE1"/>
    <w:lvl w:ilvl="0" w:tentative="0">
      <w:start w:val="2"/>
      <w:numFmt w:val="chineseCounting"/>
      <w:suff w:val="nothing"/>
      <w:lvlText w:val="（%1）"/>
      <w:lvlJc w:val="left"/>
      <w:rPr>
        <w:rFonts w:hint="eastAsia"/>
      </w:rPr>
    </w:lvl>
  </w:abstractNum>
  <w:abstractNum w:abstractNumId="3">
    <w:nsid w:val="060D4746"/>
    <w:multiLevelType w:val="singleLevel"/>
    <w:tmpl w:val="060D4746"/>
    <w:lvl w:ilvl="0" w:tentative="0">
      <w:start w:val="1"/>
      <w:numFmt w:val="decimal"/>
      <w:suff w:val="nothing"/>
      <w:lvlText w:val="%1、"/>
      <w:lvlJc w:val="left"/>
    </w:lvl>
  </w:abstractNum>
  <w:abstractNum w:abstractNumId="4">
    <w:nsid w:val="523D3841"/>
    <w:multiLevelType w:val="singleLevel"/>
    <w:tmpl w:val="523D3841"/>
    <w:lvl w:ilvl="0" w:tentative="0">
      <w:start w:val="3"/>
      <w:numFmt w:val="chineseCounting"/>
      <w:suff w:val="nothing"/>
      <w:lvlText w:val="%1、"/>
      <w:lvlJc w:val="left"/>
      <w:rPr>
        <w:rFonts w:hint="eastAsia"/>
      </w:rPr>
    </w:lvl>
  </w:abstractNum>
  <w:abstractNum w:abstractNumId="5">
    <w:nsid w:val="7FA5793A"/>
    <w:multiLevelType w:val="singleLevel"/>
    <w:tmpl w:val="7FA5793A"/>
    <w:lvl w:ilvl="0" w:tentative="0">
      <w:start w:val="2"/>
      <w:numFmt w:val="chineseCounting"/>
      <w:suff w:val="nothing"/>
      <w:lvlText w:val="（%1）"/>
      <w:lvlJc w:val="left"/>
      <w:rPr>
        <w:rFonts w:hint="eastAsia"/>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wZGM0NTA5NzU2MDRmMTE2NDkxNjJiNTE4OGVmNmIifQ=="/>
  </w:docVars>
  <w:rsids>
    <w:rsidRoot w:val="3B2E149E"/>
    <w:rsid w:val="04525DF9"/>
    <w:rsid w:val="0DD245AE"/>
    <w:rsid w:val="0EBE45CE"/>
    <w:rsid w:val="1E81151C"/>
    <w:rsid w:val="2BFC0102"/>
    <w:rsid w:val="3851104B"/>
    <w:rsid w:val="3A15288E"/>
    <w:rsid w:val="3B2E149E"/>
    <w:rsid w:val="45B42EC3"/>
    <w:rsid w:val="45D254F3"/>
    <w:rsid w:val="46374628"/>
    <w:rsid w:val="498176A7"/>
    <w:rsid w:val="5041389C"/>
    <w:rsid w:val="5909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8477</Words>
  <Characters>9357</Characters>
  <Lines>0</Lines>
  <Paragraphs>0</Paragraphs>
  <TotalTime>0</TotalTime>
  <ScaleCrop>false</ScaleCrop>
  <LinksUpToDate>false</LinksUpToDate>
  <CharactersWithSpaces>9756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Administrator</cp:lastModifiedBy>
  <cp:lastPrinted>2024-03-19T06:34:00Z</cp:lastPrinted>
  <dcterms:modified xsi:type="dcterms:W3CDTF">2024-12-25T01:51:19Z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52B2B98B104E4FE7B7304D2BD30866E4_13</vt:lpwstr>
  </property>
</Properties>
</file>